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3B31644F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6B3CD45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9E168C" w:rsidRPr="00D82544">
        <w:rPr>
          <w:sz w:val="28"/>
          <w:szCs w:val="28"/>
          <w:lang w:val="ru-RU"/>
        </w:rPr>
        <w:t>Разработка мнемосхемы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9E168C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9E168C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9E168C">
        <w:rPr>
          <w:rFonts w:cs="Times New Roman"/>
          <w:sz w:val="28"/>
          <w:lang w:val="ru-RU"/>
        </w:rPr>
        <w:t>5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3366"/>
          <w:sz w:val="32"/>
        </w:rPr>
        <w:t>Лабораторная работа №1</w:t>
      </w:r>
    </w:p>
    <w:p>
      <w:pPr>
        <w:spacing w:after="280"/>
        <w:jc w:val="center"/>
      </w:pPr>
      <w:r>
        <w:rPr>
          <w:rFonts w:ascii="Times New Roman" w:hAnsi="Times New Roman"/>
          <w:b/>
          <w:sz w:val="28"/>
        </w:rPr>
        <w:t>«Разработка мнемосхемы предметной области»</w:t>
        <w:br/>
        <w:t>Тема: «Продажа товаров в продуктовом магазине»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after="120"/>
      </w:pPr>
      <w:r>
        <w:rPr>
          <w:rFonts w:ascii="Times New Roman" w:hAnsi="Times New Roman"/>
          <w:b/>
        </w:rPr>
        <w:t xml:space="preserve">Цель работы: </w:t>
      </w:r>
      <w:r>
        <w:rPr>
          <w:rFonts w:ascii="Times New Roman" w:hAnsi="Times New Roman"/>
        </w:rPr>
        <w:t>получение практических навыков разработки мнемосхемы предметной области для сложного бизнес-процесса.</w:t>
      </w:r>
    </w:p>
    <w:p>
      <w:pPr>
        <w:spacing w:after="200"/>
      </w:pPr>
      <w:r>
        <w:rPr>
          <w:rFonts w:ascii="Times New Roman" w:hAnsi="Times New Roman"/>
          <w:b/>
        </w:rPr>
        <w:t>Задачи работы:</w:t>
        <w:br/>
      </w:r>
      <w:r>
        <w:rPr>
          <w:rFonts w:ascii="Times New Roman" w:hAnsi="Times New Roman"/>
        </w:rPr>
        <w:t>1. Провести системный анализ предметной области «Продажа товаров в продуктовом магазине» и составить подробное словесное описание бизнес-процесса от момента входа покупателя до завершения покупки.</w:t>
        <w:br/>
        <w:t>2. Выделить основных субъектов и объекты, участвующие в процессе, и определить их иерархическую структуру (подразделения предприятия и внешняя среда).</w:t>
        <w:br/>
        <w:t>3. Определить и классифицировать все виды информационного и материального взаимодействия (устный, бумажный, электронный, материальный) без использования отглагольных существительных.</w:t>
        <w:br/>
        <w:t>4. Разработать мнемосхему бизнес-процесса в соответствии с общепринятыми графическими обозначениями в среде векторного моделирования.</w:t>
        <w:br/>
        <w:t>5. Сформулировать выводы по результатам моделирования.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after="200"/>
      </w:pPr>
      <w:r>
        <w:rPr>
          <w:rFonts w:ascii="Times New Roman" w:hAnsi="Times New Roman"/>
        </w:rPr>
        <w:t>Мнемосхема (мнемоническая схема) представляет собой условное графическое изображение структуры управляемого объекта, производственного или управленческого процесса с помощью символов, унифицированных блоков и соединительных линий. Мнемосхема является наглядной упрощённой моделью процесса, облегчающей комплексное понимание его сущности, функционального назначения отдельных служб и технических средств, а также алгоритмов взаимодействия участников.</w:t>
        <w:br/>
        <w:br/>
        <w:t>Мнемосхемы применяются в случаях, когда исследуемый объект обладает распределенной структурой, и служат эффективным инструментом визуализации материальных потоков (товары, сырье, продукция), бумажного документооборота, устных коммуникаций и электронных информационных потоков. При проектировании мнемосхем критически важным является соблюдение принципа опосредованности электронного взаимодействия: физические лица не могут обмениваться электронными сигналами напрямую — информационный обмен всегда происходит через специализированные аппаратные и программные посредники (терминалы, серверы, сканеры, учетные системы).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3 Подробное словесное описание бизнес-процесса</w:t>
      </w:r>
    </w:p>
    <w:p>
      <w:pPr>
        <w:spacing w:after="120"/>
      </w:pPr>
      <w:r>
        <w:rPr>
          <w:rFonts w:ascii="Times New Roman" w:hAnsi="Times New Roman"/>
        </w:rPr>
        <w:t>Бизнес-процесс «Продажа товаров в продуктовом магазине» реализуется в очном формате в рамках супермаркета / продуктового магазина и включает в себя следующие последовательные этапы:</w:t>
      </w:r>
    </w:p>
    <w:p>
      <w:pPr>
        <w:spacing w:after="80"/>
      </w:pPr>
      <w:r>
        <w:rPr>
          <w:rFonts w:ascii="Times New Roman" w:hAnsi="Times New Roman"/>
          <w:b/>
        </w:rPr>
        <w:t xml:space="preserve">1. Вход и выбор товаров в торговом зале: </w:t>
      </w:r>
      <w:r>
        <w:rPr>
          <w:rFonts w:ascii="Times New Roman" w:hAnsi="Times New Roman"/>
        </w:rPr>
        <w:t>Покупатель входит в магазин «Продукты», берет корзину и направляется в торговый зал. Покупатель изучает выложенные на полках и витринах продукты питания и визуальную информацию о стоимости, указанную на ценниках. Выбрав необходимые товары, покупатель помещает их в корзину и переходит в зону кассового узла.</w:t>
      </w:r>
    </w:p>
    <w:p>
      <w:pPr>
        <w:spacing w:after="80"/>
      </w:pPr>
      <w:r>
        <w:rPr>
          <w:rFonts w:ascii="Times New Roman" w:hAnsi="Times New Roman"/>
          <w:b/>
        </w:rPr>
        <w:t xml:space="preserve">2. Выкладка товаров на кассовую ленту: </w:t>
      </w:r>
      <w:r>
        <w:rPr>
          <w:rFonts w:ascii="Times New Roman" w:hAnsi="Times New Roman"/>
        </w:rPr>
        <w:t>Покупатель выкладывает выбранные продукты на транспортерную ленту кассового стола перед кассиром-продавцом.</w:t>
      </w:r>
    </w:p>
    <w:p>
      <w:pPr>
        <w:spacing w:after="80"/>
      </w:pPr>
      <w:r>
        <w:rPr>
          <w:rFonts w:ascii="Times New Roman" w:hAnsi="Times New Roman"/>
          <w:b/>
        </w:rPr>
        <w:t xml:space="preserve">3. Регистрация и считывание штрихкодов: </w:t>
      </w:r>
      <w:r>
        <w:rPr>
          <w:rFonts w:ascii="Times New Roman" w:hAnsi="Times New Roman"/>
        </w:rPr>
        <w:t>Кассир берет поочередно каждый товар и направляет упаковку штрихкодом к окну сканера штрихкодов. Оптический сканер считывает графический штрихкод и передает цифровой код товара в POS-терминал.</w:t>
      </w:r>
    </w:p>
    <w:p>
      <w:pPr>
        <w:spacing w:after="80"/>
      </w:pPr>
      <w:r>
        <w:rPr>
          <w:rFonts w:ascii="Times New Roman" w:hAnsi="Times New Roman"/>
          <w:b/>
        </w:rPr>
        <w:t xml:space="preserve">4. Запрос сведений из товароучетной системы: </w:t>
      </w:r>
      <w:r>
        <w:rPr>
          <w:rFonts w:ascii="Times New Roman" w:hAnsi="Times New Roman"/>
        </w:rPr>
        <w:t>POS-терминал формирует электронный сетевой запрос в товароучетную систему (сервер 1С:Предприятие магазина). Система возвращает актуальные данные: наименование продукта, розничную стоимость и ставку НДС. Информация отображается на мониторе кассира и информационном дисплее покупателя.</w:t>
      </w:r>
    </w:p>
    <w:p>
      <w:pPr>
        <w:spacing w:after="80"/>
      </w:pPr>
      <w:r>
        <w:rPr>
          <w:rFonts w:ascii="Times New Roman" w:hAnsi="Times New Roman"/>
          <w:b/>
        </w:rPr>
        <w:t xml:space="preserve">5. Коммуникация и озвучивание суммы к оплате: </w:t>
      </w:r>
      <w:r>
        <w:rPr>
          <w:rFonts w:ascii="Times New Roman" w:hAnsi="Times New Roman"/>
        </w:rPr>
        <w:t>Кассир устно приветствует покупателя, сообщает итоговую сумму к оплате, предлагает фирменный пакет и уточняет предпочтительную форму расчета (банковской картой или наличными средствами). Покупатель устно сообщает свой выбор.</w:t>
      </w:r>
    </w:p>
    <w:p>
      <w:pPr>
        <w:spacing w:after="80"/>
      </w:pPr>
      <w:r>
        <w:rPr>
          <w:rFonts w:ascii="Times New Roman" w:hAnsi="Times New Roman"/>
          <w:b/>
        </w:rPr>
        <w:t xml:space="preserve">6. Проведение платежа: </w:t>
      </w:r>
      <w:r>
        <w:rPr>
          <w:rFonts w:ascii="Times New Roman" w:hAnsi="Times New Roman"/>
        </w:rPr>
        <w:t>При безналичном расчете покупатель прикладывает банковскую карту (или смартфон с NFC) к банковскому терминалу (пин-паду). Банковский терминал по защищенному каналу отправляет электронный запрос на авторизацию в процессинговый центр банка-эквайера. Банк выполняет проверку баланса счета, блокирует сумму покупки и возвращает код авторизации. Терминал формирует слип-чек транзакции и сообщает об успешной оплате в POS-терминал. При наличном расчете покупатель передает кассиру денежные купюры, кассир вносит сумму в кассу и выдает покупателю сдачу наличными средствами.</w:t>
      </w:r>
    </w:p>
    <w:p>
      <w:pPr>
        <w:spacing w:after="80"/>
      </w:pPr>
      <w:r>
        <w:rPr>
          <w:rFonts w:ascii="Times New Roman" w:hAnsi="Times New Roman"/>
          <w:b/>
        </w:rPr>
        <w:t xml:space="preserve">7. Фискализация и печать кассового чека: </w:t>
      </w:r>
      <w:r>
        <w:rPr>
          <w:rFonts w:ascii="Times New Roman" w:hAnsi="Times New Roman"/>
        </w:rPr>
        <w:t>POS-терминал передает команду в фискальный накопитель ККМ на печать фискального кассового чека. Кассир отрывает кассовый чек и передает его покупателю.</w:t>
      </w:r>
    </w:p>
    <w:p>
      <w:pPr>
        <w:spacing w:after="80"/>
      </w:pPr>
      <w:r>
        <w:rPr>
          <w:rFonts w:ascii="Times New Roman" w:hAnsi="Times New Roman"/>
          <w:b/>
        </w:rPr>
        <w:t xml:space="preserve">8. Списание остатков и завершение покупки: </w:t>
      </w:r>
      <w:r>
        <w:rPr>
          <w:rFonts w:ascii="Times New Roman" w:hAnsi="Times New Roman"/>
        </w:rPr>
        <w:t>POS-терминал в фоновом режиме отправляет электронный пакет данных о проданных позициях в товароучетную систему (1С:Предприятие) для автоматического списания единиц товара со склада торгового зала. Товаровед/администратор имеет возможность сформировать сводный отчет о продажах и остатках. Кассир передает покупателю упакованный товар в пакете. Покупатель забирает продукты, чек и покидает торговый зал.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6"/>
        </w:rPr>
        <w:t>4.1 Субъекты и объекты предметной области</w:t>
      </w:r>
    </w:p>
    <w:p>
      <w:pPr>
        <w:spacing w:after="160"/>
      </w:pPr>
      <w:r>
        <w:rPr>
          <w:rFonts w:ascii="Times New Roman" w:hAnsi="Times New Roman"/>
        </w:rPr>
        <w:t>В соответствии с методическими требованиями все элементы предметной области структурированы по подразделениям организации «Магазин "Продукты"» и внешней среде:</w:t>
        <w:br/>
        <w:br/>
        <w:t>1. Организационная структура «Магазин "Продукты"»:</w:t>
        <w:br/>
        <w:t xml:space="preserve">   а) Подразделение «Торговый зал»:</w:t>
        <w:br/>
        <w:t xml:space="preserve">      • Покупатель (клиент магазина) — субъект;</w:t>
        <w:br/>
        <w:t xml:space="preserve">      • Витрина / Полка с продуктами (включает выкладку продуктов и ценники) — объект.</w:t>
        <w:br/>
        <w:t xml:space="preserve">   б) Подразделение «Кассовый узел (Зона расчета)»:</w:t>
        <w:br/>
        <w:t xml:space="preserve">      • Кассир-продавец (оператор кассы) — субъект;</w:t>
        <w:br/>
        <w:t xml:space="preserve">      • Сканер штрихкодов (лазерный оптический считыватель) — объект;</w:t>
        <w:br/>
        <w:t xml:space="preserve">      • POS-терминал / ККМ (кассовый компьютер с фискальным регистратором и дисплеем) — объект;</w:t>
        <w:br/>
        <w:t xml:space="preserve">      • Банковский терминал (пин-пад / ридер бесконтактных карт) — объект.</w:t>
        <w:br/>
        <w:t xml:space="preserve">   в) Подразделение «Бэк-офис и ИТ-инфраструктура (Серверная)»:</w:t>
        <w:br/>
        <w:t xml:space="preserve">      • Товароучетная система (сервер базы данных «1С:Предприятие») — объект;</w:t>
        <w:br/>
        <w:t xml:space="preserve">      • Администратор / Товаровед магазина — субъект.</w:t>
        <w:br/>
        <w:t>2. Внешняя среда:</w:t>
        <w:br/>
        <w:t xml:space="preserve">   • Процессинговый центр банка-эквайера (сервер авторизации платежей) — объект/внешняя организация.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6"/>
        </w:rPr>
        <w:t>4.2 Информационное и материальное взаимодействие</w:t>
      </w:r>
    </w:p>
    <w:p>
      <w:pPr>
        <w:spacing w:after="120"/>
      </w:pPr>
      <w:r>
        <w:rPr>
          <w:rFonts w:ascii="Times New Roman" w:hAnsi="Times New Roman"/>
        </w:rPr>
        <w:t>Сводные данные по формам и типам взаимодействия представлены в таблице 1. В соответствии с регламентом исключены отглагольные существительные, а электронный обмен реализован строго через технические устройства-посредники.</w:t>
      </w:r>
    </w:p>
    <w:p>
      <w:pPr>
        <w:spacing w:after="80"/>
        <w:jc w:val="left"/>
      </w:pPr>
      <w:r>
        <w:rPr>
          <w:rFonts w:ascii="Times New Roman" w:hAnsi="Times New Roman"/>
          <w:b/>
          <w:sz w:val="22"/>
        </w:rPr>
        <w:t>Таблица 1 – Информационное и материальное взаимодействие в предметной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bottom w:val="single" w:sz="4" w:space="0" w:color="B0BEC5"/>
          <w:left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 кого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Кому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Форма информационного / материального взаимодействия</w:t>
            </w:r>
          </w:p>
        </w:tc>
        <w:tc>
          <w:tcPr>
            <w:tcW w:type="dxa" w:w="2339"/>
            <w:shd w:fill="D9E2E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Тип взаимодействия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Витрина магазина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Товар (продукты питания)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материальный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Витрина магазина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Ценник (информация о стоимости)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Товар на кассовой ленте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материальный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Вопрос о товаре / скидке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устный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Сумма к оплате / ответ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устный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Товар (упаковка)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Сканер штрихкодов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Штрихкод на упаковке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Сканер штрихкодов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Цифровой код товара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Товароучетная система (1С)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Запрос цены и наличия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Сведения о товаре (цена, наименование)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Банковская карта (NFC) / наличные средства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Команда на оплату (сумма)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Банковский 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Процессинговый центр банка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Запрос на авторизацию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Процессинговый центр банка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Код подтверждения (одобрение транзакции)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Банковский 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Статус оплаты (успех)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Банковский терминал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Слип-чек терминала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бумажный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Кассовый чек (печать)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бумажный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Кассовый чек (фискальный)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бумажный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Сдача (наличные средства)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материальный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Кассир-продавец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Покупатель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Упакованный товар в фирменном пакете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материальный</w:t>
            </w:r>
          </w:p>
        </w:tc>
      </w:tr>
      <w:tr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POS-терминал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Товароучетная система (1С)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Данные о списании проданного товара</w:t>
            </w:r>
          </w:p>
        </w:tc>
        <w:tc>
          <w:tcPr>
            <w:tcW w:type="dxa" w:w="2339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электронный</w:t>
            </w:r>
          </w:p>
        </w:tc>
      </w:tr>
      <w:tr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Товароучетная система (1С)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Администратор / Товаровед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Отчет о продажах и остатках</w:t>
            </w:r>
          </w:p>
        </w:tc>
        <w:tc>
          <w:tcPr>
            <w:tcW w:type="dxa" w:w="2339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бумажный</w:t>
            </w:r>
          </w:p>
        </w:tc>
      </w:tr>
    </w:tbl>
    <w:p>
      <w:pPr>
        <w:spacing w:before="160"/>
      </w:pP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6"/>
        </w:rPr>
        <w:t>4.3 Мнемосхема бизнес-процесса</w:t>
      </w:r>
    </w:p>
    <w:p>
      <w:pPr>
        <w:spacing w:after="120"/>
      </w:pPr>
      <w:r>
        <w:rPr>
          <w:rFonts w:ascii="Times New Roman" w:hAnsi="Times New Roman"/>
        </w:rPr>
        <w:t>Разработанная мнемосхема бизнес-процесса «Продажа товаров в продуктовом магазине» представлена на рисунке 1.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4130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0"/>
        </w:rPr>
        <w:t>Рисунок 1 – Мнемосхема бизнес-процесса «Продажа товаров в продуктовом магазине»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after="240"/>
      </w:pPr>
      <w:r>
        <w:rPr>
          <w:rFonts w:ascii="Times New Roman" w:hAnsi="Times New Roman"/>
        </w:rPr>
        <w:t>В ходе выполнения лабораторной работы №1 были приобретены практические навыки системного описания и разработки мнемосхемы предметной области для бизнес-процесса «Продажа товаров в продуктовом магазине».</w:t>
        <w:br/>
        <w:br/>
        <w:t>1. Была выделена иерархическая структура предприятия (магазин «Продукты»), состоящая из подразделений «Торговый зал», «Кассовый узел» и «Бэк-офис и ИТ-инфраструктура», а также внешняя сущность (банк-эквайер).</w:t>
        <w:br/>
        <w:t>2. Произведена классификация взаимодействий на четыре базовых типа: материальный (товары, деньги, карты), бумажный (чеки, ценники, отчетность), устный (диалог покупателя и кассира) и электронный (сетевой обмен запросами и кодами).</w:t>
        <w:br/>
        <w:t>3. Были строго соблюдены регламентные требования: исключены отглагольные существительные в названиях форм взаимодействия, электронное взаимодействие между физическими лицами организовано строго через технические системы (POS-терминал, сканер штрихкодов, пин-пад, сервер 1С), а сам процесс предполагает непосредственное очное участие клиента.</w:t>
        <w:br/>
        <w:t>4. Построенная мнемосхема является наглядной и целостной основой для последующего функционального моделирования в нотации IDEF0 в рамках лабораторной работы №2.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A46DE"/>
    <w:rsid w:val="00904ECD"/>
    <w:rsid w:val="009B57B5"/>
    <w:rsid w:val="009E168C"/>
    <w:rsid w:val="00A36B75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82544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8</cp:revision>
  <dcterms:created xsi:type="dcterms:W3CDTF">2022-10-28T08:32:00Z</dcterms:created>
  <dcterms:modified xsi:type="dcterms:W3CDTF">2025-10-24T13:34:00Z</dcterms:modified>
</cp:coreProperties>
</file>