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9B4CC" w14:textId="49A7EA99" w:rsidR="00481C21" w:rsidRPr="00647AA4" w:rsidRDefault="00481C21" w:rsidP="00481C21">
      <w:pPr>
        <w:jc w:val="center"/>
        <w:rPr>
          <w:rFonts w:cs="Times New Roman"/>
          <w:sz w:val="28"/>
          <w:szCs w:val="28"/>
          <w:lang w:val="ru-RU"/>
        </w:rPr>
      </w:pPr>
      <w:r w:rsidRPr="00647AA4">
        <w:rPr>
          <w:rFonts w:cs="Times New Roman"/>
          <w:sz w:val="28"/>
          <w:szCs w:val="28"/>
          <w:lang w:val="ru-RU"/>
        </w:rPr>
        <w:t xml:space="preserve">ФГБОУ ВО </w:t>
      </w:r>
      <w:r w:rsidR="00C24851" w:rsidRPr="00647AA4">
        <w:rPr>
          <w:rFonts w:cs="Times New Roman"/>
          <w:sz w:val="28"/>
          <w:szCs w:val="28"/>
          <w:lang w:val="ru-RU"/>
        </w:rPr>
        <w:t>Уфимский университет</w:t>
      </w:r>
      <w:r w:rsidR="00C24851">
        <w:rPr>
          <w:rFonts w:cs="Times New Roman"/>
          <w:sz w:val="28"/>
          <w:szCs w:val="28"/>
          <w:lang w:val="ru-RU"/>
        </w:rPr>
        <w:t xml:space="preserve"> науки и технологий</w:t>
      </w:r>
    </w:p>
    <w:p w14:paraId="7F59E107" w14:textId="77777777" w:rsidR="00481C21" w:rsidRPr="00640B22" w:rsidRDefault="00481C21" w:rsidP="00481C21">
      <w:pPr>
        <w:jc w:val="center"/>
        <w:rPr>
          <w:rFonts w:cs="Times New Roman"/>
          <w:bCs/>
          <w:sz w:val="28"/>
          <w:lang w:val="ru-RU"/>
        </w:rPr>
      </w:pPr>
      <w:r w:rsidRPr="001D16B5">
        <w:rPr>
          <w:rFonts w:cs="Times New Roman"/>
          <w:sz w:val="28"/>
          <w:szCs w:val="28"/>
          <w:lang w:val="ru-RU"/>
        </w:rPr>
        <w:t xml:space="preserve">Кафедра </w:t>
      </w:r>
      <w:r>
        <w:rPr>
          <w:rFonts w:cs="Times New Roman"/>
          <w:sz w:val="28"/>
          <w:szCs w:val="28"/>
          <w:lang w:val="ru-RU"/>
        </w:rPr>
        <w:t>АСУ</w:t>
      </w:r>
    </w:p>
    <w:p w14:paraId="361AD177" w14:textId="77777777" w:rsidR="00481C21" w:rsidRDefault="00481C21" w:rsidP="00481C21">
      <w:pPr>
        <w:rPr>
          <w:rFonts w:cs="Times New Roman"/>
          <w:lang w:val="ru-RU"/>
        </w:rPr>
      </w:pPr>
    </w:p>
    <w:p w14:paraId="3DE288E3" w14:textId="49B361E8" w:rsidR="00481C21" w:rsidRDefault="00FE2B26" w:rsidP="00481C21">
      <w:pPr>
        <w:rPr>
          <w:rFonts w:cs="Times New Roman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                          </w:t>
      </w:r>
    </w:p>
    <w:p w14:paraId="36AA5152" w14:textId="77777777" w:rsidR="00481C21" w:rsidRDefault="00481C21" w:rsidP="00481C21">
      <w:pPr>
        <w:rPr>
          <w:rFonts w:cs="Times New Roman"/>
          <w:lang w:val="ru-RU"/>
        </w:rPr>
      </w:pPr>
    </w:p>
    <w:p w14:paraId="3EFE7CFF" w14:textId="77777777" w:rsidR="00481C21" w:rsidRDefault="00481C21" w:rsidP="00481C21">
      <w:pPr>
        <w:rPr>
          <w:rFonts w:cs="Times New Roman"/>
          <w:lang w:val="ru-RU"/>
        </w:rPr>
      </w:pPr>
    </w:p>
    <w:p w14:paraId="440E240B" w14:textId="77777777" w:rsidR="00481C21" w:rsidRDefault="00481C21" w:rsidP="00481C21">
      <w:pPr>
        <w:rPr>
          <w:rFonts w:cs="Times New Roman"/>
          <w:lang w:val="ru-RU"/>
        </w:rPr>
      </w:pPr>
    </w:p>
    <w:p w14:paraId="6D8998EE" w14:textId="77777777" w:rsidR="00481C21" w:rsidRDefault="00481C21" w:rsidP="00481C21">
      <w:pPr>
        <w:rPr>
          <w:rFonts w:cs="Times New Roman"/>
          <w:lang w:val="ru-RU"/>
        </w:rPr>
      </w:pPr>
    </w:p>
    <w:p w14:paraId="52BCC19E" w14:textId="77777777" w:rsidR="00481C21" w:rsidRDefault="00481C21" w:rsidP="00481C21">
      <w:pPr>
        <w:rPr>
          <w:rFonts w:cs="Times New Roman"/>
          <w:lang w:val="ru-RU"/>
        </w:rPr>
      </w:pPr>
    </w:p>
    <w:p w14:paraId="2E5CBE9D" w14:textId="77777777" w:rsidR="00481C21" w:rsidRDefault="00481C21" w:rsidP="00481C21">
      <w:pPr>
        <w:rPr>
          <w:rFonts w:cs="Times New Roman"/>
          <w:lang w:val="ru-RU"/>
        </w:rPr>
      </w:pPr>
    </w:p>
    <w:p w14:paraId="37095C4F" w14:textId="77777777" w:rsidR="00481C21" w:rsidRDefault="00481C21" w:rsidP="00481C21">
      <w:pPr>
        <w:rPr>
          <w:rFonts w:cs="Times New Roman"/>
          <w:lang w:val="ru-RU"/>
        </w:rPr>
      </w:pPr>
    </w:p>
    <w:p w14:paraId="7D272347" w14:textId="77777777" w:rsidR="00481C21" w:rsidRDefault="00481C21" w:rsidP="00481C21">
      <w:pPr>
        <w:rPr>
          <w:rFonts w:cs="Times New Roman"/>
          <w:lang w:val="ru-RU"/>
        </w:rPr>
      </w:pPr>
    </w:p>
    <w:p w14:paraId="6181602A" w14:textId="77777777" w:rsidR="00481C21" w:rsidRPr="001D16B5" w:rsidRDefault="00481C21" w:rsidP="00481C21">
      <w:pPr>
        <w:rPr>
          <w:rFonts w:cs="Times New Roman"/>
          <w:lang w:val="ru-RU"/>
        </w:rPr>
      </w:pPr>
    </w:p>
    <w:p w14:paraId="3B531163" w14:textId="0327D359" w:rsidR="00481C21" w:rsidRPr="00FE2B26" w:rsidRDefault="00FE2B26" w:rsidP="00481C21">
      <w:pPr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                           </w:t>
      </w:r>
    </w:p>
    <w:p w14:paraId="01BFEE9B" w14:textId="6C71546E" w:rsidR="00D00B34" w:rsidRDefault="00D00B34" w:rsidP="00D00B34">
      <w:pPr>
        <w:rPr>
          <w:rFonts w:cs="Times New Roman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                     </w:t>
      </w:r>
      <w:r w:rsidR="00FA587B">
        <w:rPr>
          <w:rFonts w:cs="Times New Roman"/>
          <w:sz w:val="28"/>
          <w:szCs w:val="28"/>
          <w:lang w:val="ru-RU"/>
        </w:rPr>
        <w:t>Дисциплина</w:t>
      </w:r>
      <w:r>
        <w:rPr>
          <w:rFonts w:cs="Times New Roman"/>
          <w:sz w:val="28"/>
          <w:szCs w:val="28"/>
          <w:lang w:val="ru-RU"/>
        </w:rPr>
        <w:t xml:space="preserve"> «</w:t>
      </w:r>
      <w:r w:rsidR="007C06C2">
        <w:rPr>
          <w:rFonts w:cs="Times New Roman"/>
          <w:sz w:val="28"/>
          <w:szCs w:val="28"/>
          <w:lang w:val="ru-RU"/>
        </w:rPr>
        <w:t>Технологии бизнес-моделирования</w:t>
      </w:r>
      <w:r>
        <w:rPr>
          <w:rFonts w:cs="Times New Roman"/>
          <w:sz w:val="28"/>
          <w:szCs w:val="28"/>
          <w:lang w:val="ru-RU"/>
        </w:rPr>
        <w:t>»</w:t>
      </w:r>
    </w:p>
    <w:p w14:paraId="2489D893" w14:textId="48F95C1A" w:rsidR="00481C21" w:rsidRDefault="00D00B34" w:rsidP="00D00B34">
      <w:pPr>
        <w:rPr>
          <w:rFonts w:cs="Times New Roman"/>
          <w:sz w:val="28"/>
          <w:szCs w:val="22"/>
          <w:lang w:val="ru-RU"/>
        </w:rPr>
      </w:pPr>
      <w:r>
        <w:rPr>
          <w:rFonts w:cs="Times New Roman"/>
          <w:lang w:val="ru-RU"/>
        </w:rPr>
        <w:t xml:space="preserve">                                                 </w:t>
      </w:r>
      <w:r w:rsidR="00127DFB">
        <w:rPr>
          <w:rFonts w:cs="Times New Roman"/>
          <w:sz w:val="28"/>
          <w:szCs w:val="22"/>
          <w:lang w:val="ru-RU"/>
        </w:rPr>
        <w:t>Практическ</w:t>
      </w:r>
      <w:r w:rsidR="007C06C2">
        <w:rPr>
          <w:rFonts w:cs="Times New Roman"/>
          <w:sz w:val="28"/>
          <w:szCs w:val="22"/>
          <w:lang w:val="ru-RU"/>
        </w:rPr>
        <w:t>ие</w:t>
      </w:r>
      <w:r w:rsidR="00481C21" w:rsidRPr="001D16B5">
        <w:rPr>
          <w:rFonts w:cs="Times New Roman"/>
          <w:sz w:val="28"/>
          <w:szCs w:val="22"/>
          <w:lang w:val="ru-RU"/>
        </w:rPr>
        <w:t xml:space="preserve"> работ</w:t>
      </w:r>
      <w:r w:rsidR="007C06C2">
        <w:rPr>
          <w:rFonts w:cs="Times New Roman"/>
          <w:sz w:val="28"/>
          <w:szCs w:val="22"/>
          <w:lang w:val="ru-RU"/>
        </w:rPr>
        <w:t>ы</w:t>
      </w:r>
      <w:r w:rsidR="00481C21" w:rsidRPr="001D16B5">
        <w:rPr>
          <w:rFonts w:cs="Times New Roman"/>
          <w:sz w:val="28"/>
          <w:szCs w:val="22"/>
          <w:lang w:val="ru-RU"/>
        </w:rPr>
        <w:t xml:space="preserve"> </w:t>
      </w:r>
      <w:proofErr w:type="gramStart"/>
      <w:r w:rsidR="00481C21" w:rsidRPr="001D16B5">
        <w:rPr>
          <w:rFonts w:cs="Times New Roman"/>
          <w:sz w:val="28"/>
          <w:szCs w:val="22"/>
          <w:lang w:val="ru-RU"/>
        </w:rPr>
        <w:t>№</w:t>
      </w:r>
      <w:r w:rsidR="001733A1">
        <w:rPr>
          <w:rFonts w:cs="Times New Roman"/>
          <w:sz w:val="28"/>
          <w:szCs w:val="22"/>
          <w:lang w:val="ru-RU"/>
        </w:rPr>
        <w:t>1</w:t>
      </w:r>
      <w:r w:rsidR="007C06C2">
        <w:rPr>
          <w:rFonts w:cs="Times New Roman"/>
          <w:sz w:val="28"/>
          <w:szCs w:val="22"/>
          <w:lang w:val="ru-RU"/>
        </w:rPr>
        <w:t>-3</w:t>
      </w:r>
      <w:proofErr w:type="gramEnd"/>
      <w:r w:rsidR="00481C21" w:rsidRPr="001D16B5">
        <w:rPr>
          <w:rFonts w:cs="Times New Roman"/>
          <w:sz w:val="28"/>
          <w:szCs w:val="22"/>
          <w:lang w:val="ru-RU"/>
        </w:rPr>
        <w:t xml:space="preserve"> </w:t>
      </w:r>
    </w:p>
    <w:p w14:paraId="57463E6A" w14:textId="4F4D0921" w:rsidR="00481C21" w:rsidRDefault="00481C21" w:rsidP="00481C21">
      <w:pPr>
        <w:jc w:val="center"/>
        <w:rPr>
          <w:rFonts w:cs="Times New Roman"/>
          <w:sz w:val="28"/>
          <w:szCs w:val="22"/>
          <w:lang w:val="ru-RU"/>
        </w:rPr>
      </w:pPr>
      <w:r w:rsidRPr="001D16B5">
        <w:rPr>
          <w:rFonts w:cs="Times New Roman"/>
          <w:sz w:val="28"/>
          <w:szCs w:val="22"/>
          <w:lang w:val="ru-RU"/>
        </w:rPr>
        <w:t>«</w:t>
      </w:r>
      <w:r w:rsidR="001317A0" w:rsidRPr="001317A0">
        <w:rPr>
          <w:rFonts w:cs="Times New Roman"/>
          <w:sz w:val="28"/>
          <w:szCs w:val="22"/>
          <w:lang w:val="ru-RU"/>
        </w:rPr>
        <w:t>Имитационное моделирование бизнес-процессов</w:t>
      </w:r>
      <w:r w:rsidRPr="001D16B5">
        <w:rPr>
          <w:rFonts w:cs="Times New Roman"/>
          <w:sz w:val="28"/>
          <w:szCs w:val="22"/>
          <w:lang w:val="ru-RU"/>
        </w:rPr>
        <w:t>»</w:t>
      </w:r>
    </w:p>
    <w:p w14:paraId="186DFB46" w14:textId="77777777" w:rsidR="00CB4290" w:rsidRDefault="00CB4290" w:rsidP="00481C21">
      <w:pPr>
        <w:jc w:val="center"/>
        <w:rPr>
          <w:rFonts w:cs="Times New Roman"/>
          <w:sz w:val="28"/>
          <w:szCs w:val="22"/>
          <w:lang w:val="ru-RU"/>
        </w:rPr>
      </w:pPr>
    </w:p>
    <w:p w14:paraId="75974C4F" w14:textId="6450EDCA" w:rsidR="00CB4290" w:rsidRPr="001D16B5" w:rsidRDefault="00CB4290" w:rsidP="00481C21">
      <w:pPr>
        <w:jc w:val="center"/>
        <w:rPr>
          <w:rFonts w:cs="Times New Roman"/>
          <w:sz w:val="28"/>
          <w:szCs w:val="22"/>
          <w:lang w:val="ru-RU"/>
        </w:rPr>
      </w:pPr>
      <w:r/>
    </w:p>
    <w:p w14:paraId="60BD4FB2" w14:textId="5F78B65C" w:rsidR="00481C21" w:rsidRDefault="00481C21" w:rsidP="00481C21">
      <w:pPr>
        <w:rPr>
          <w:rFonts w:cs="Times New Roman"/>
          <w:sz w:val="32"/>
          <w:lang w:val="ru-RU"/>
        </w:rPr>
      </w:pPr>
    </w:p>
    <w:p w14:paraId="59A74138" w14:textId="77777777" w:rsidR="00481C21" w:rsidRDefault="00481C21" w:rsidP="00481C21">
      <w:pPr>
        <w:rPr>
          <w:rFonts w:cs="Times New Roman"/>
          <w:sz w:val="32"/>
          <w:lang w:val="ru-RU"/>
        </w:rPr>
      </w:pPr>
    </w:p>
    <w:p w14:paraId="007DEE38" w14:textId="77777777" w:rsidR="00481C21" w:rsidRDefault="00481C21" w:rsidP="00481C21">
      <w:pPr>
        <w:rPr>
          <w:rFonts w:cs="Times New Roman"/>
          <w:sz w:val="32"/>
          <w:lang w:val="ru-RU"/>
        </w:rPr>
      </w:pPr>
    </w:p>
    <w:p w14:paraId="7A288AE5" w14:textId="77777777" w:rsidR="00481C21" w:rsidRDefault="00481C21" w:rsidP="00481C21">
      <w:pPr>
        <w:rPr>
          <w:rFonts w:cs="Times New Roman"/>
          <w:sz w:val="32"/>
          <w:lang w:val="ru-RU"/>
        </w:rPr>
      </w:pPr>
    </w:p>
    <w:p w14:paraId="00656803" w14:textId="77777777" w:rsidR="00481C21" w:rsidRDefault="00481C21" w:rsidP="00481C21">
      <w:pPr>
        <w:rPr>
          <w:rFonts w:cs="Times New Roman"/>
          <w:sz w:val="32"/>
          <w:lang w:val="ru-RU"/>
        </w:rPr>
      </w:pPr>
    </w:p>
    <w:p w14:paraId="4D53DAA2" w14:textId="77777777" w:rsidR="00481C21" w:rsidRDefault="00481C21" w:rsidP="00481C21">
      <w:pPr>
        <w:rPr>
          <w:rFonts w:cs="Times New Roman"/>
          <w:sz w:val="32"/>
          <w:lang w:val="ru-RU"/>
        </w:rPr>
      </w:pPr>
    </w:p>
    <w:p w14:paraId="24F764C0" w14:textId="77777777" w:rsidR="00481C21" w:rsidRDefault="00481C21" w:rsidP="00481C21">
      <w:pPr>
        <w:rPr>
          <w:rFonts w:cs="Times New Roman"/>
          <w:sz w:val="32"/>
          <w:lang w:val="ru-RU"/>
        </w:rPr>
      </w:pPr>
    </w:p>
    <w:p w14:paraId="41E0F131" w14:textId="77777777" w:rsidR="00481C21" w:rsidRDefault="00481C21" w:rsidP="00481C21">
      <w:pPr>
        <w:rPr>
          <w:rFonts w:cs="Times New Roman"/>
          <w:sz w:val="32"/>
          <w:lang w:val="ru-RU"/>
        </w:rPr>
      </w:pPr>
    </w:p>
    <w:p w14:paraId="6D91BDAA" w14:textId="77777777" w:rsidR="00481C21" w:rsidRDefault="00481C21" w:rsidP="00481C21">
      <w:pPr>
        <w:rPr>
          <w:rFonts w:cs="Times New Roman"/>
          <w:sz w:val="32"/>
          <w:lang w:val="ru-RU"/>
        </w:rPr>
      </w:pPr>
    </w:p>
    <w:p w14:paraId="0B260CEF" w14:textId="77777777" w:rsidR="00481C21" w:rsidRDefault="00481C21" w:rsidP="00481C21">
      <w:pPr>
        <w:rPr>
          <w:rFonts w:cs="Times New Roman"/>
          <w:sz w:val="32"/>
          <w:lang w:val="ru-RU"/>
        </w:rPr>
      </w:pPr>
    </w:p>
    <w:p w14:paraId="4DCAEF23" w14:textId="77777777" w:rsidR="00481C21" w:rsidRDefault="00481C21" w:rsidP="00481C21">
      <w:pPr>
        <w:rPr>
          <w:rFonts w:cs="Times New Roman"/>
          <w:sz w:val="32"/>
          <w:lang w:val="ru-RU"/>
        </w:rPr>
      </w:pPr>
    </w:p>
    <w:p w14:paraId="7D44E209" w14:textId="77777777" w:rsidR="00481C21" w:rsidRDefault="00481C21" w:rsidP="00481C21">
      <w:pPr>
        <w:rPr>
          <w:rFonts w:cs="Times New Roman"/>
          <w:sz w:val="32"/>
          <w:lang w:val="ru-RU"/>
        </w:rPr>
      </w:pPr>
    </w:p>
    <w:p w14:paraId="4D9A51A8" w14:textId="42683DF5" w:rsidR="00481C21" w:rsidRDefault="00FE2B26" w:rsidP="00B551DC">
      <w:pPr>
        <w:ind w:left="993"/>
        <w:rPr>
          <w:rFonts w:cs="Times New Roman"/>
          <w:sz w:val="28"/>
          <w:szCs w:val="22"/>
          <w:lang w:val="ru-RU"/>
        </w:rPr>
      </w:pPr>
      <w:r>
        <w:rPr>
          <w:rFonts w:ascii="Times New Roman" w:hAnsi="Times New Roman"/>
          <w:sz w:val="24"/>
        </w:rPr>
        <w:t xml:space="preserve">                                                   Выполнил: студент гр. 209 БЗУ</w:t>
      </w:r>
    </w:p>
    <w:p w14:paraId="343B6E8D" w14:textId="0FBF383A" w:rsidR="00481C21" w:rsidRPr="001D16B5" w:rsidRDefault="00CB4290" w:rsidP="00481C21">
      <w:pPr>
        <w:jc w:val="right"/>
        <w:rPr>
          <w:rFonts w:cs="Times New Roman"/>
          <w:sz w:val="28"/>
          <w:szCs w:val="22"/>
          <w:lang w:val="ru-RU"/>
        </w:rPr>
      </w:pPr>
      <w:r>
        <w:rPr>
          <w:rFonts w:ascii="Times New Roman" w:hAnsi="Times New Roman"/>
          <w:sz w:val="24"/>
        </w:rPr>
        <w:t xml:space="preserve">                                                   Баянов Д.</w:t>
      </w:r>
    </w:p>
    <w:p w14:paraId="670CECDD" w14:textId="77777777" w:rsidR="00481C21" w:rsidRPr="001D16B5" w:rsidRDefault="00481C21" w:rsidP="00481C21">
      <w:pPr>
        <w:jc w:val="right"/>
        <w:rPr>
          <w:rFonts w:cs="Times New Roman"/>
          <w:sz w:val="28"/>
          <w:szCs w:val="22"/>
          <w:lang w:val="ru-RU"/>
        </w:rPr>
      </w:pPr>
    </w:p>
    <w:p w14:paraId="75E7CBB9" w14:textId="6BB54BE8" w:rsidR="00481C21" w:rsidRDefault="00481C21" w:rsidP="00481C21">
      <w:pPr>
        <w:jc w:val="right"/>
        <w:rPr>
          <w:rFonts w:cs="Times New Roman"/>
          <w:sz w:val="28"/>
          <w:szCs w:val="22"/>
          <w:lang w:val="ru-RU"/>
        </w:rPr>
      </w:pPr>
      <w:r w:rsidRPr="001D16B5">
        <w:rPr>
          <w:rFonts w:cs="Times New Roman"/>
          <w:sz w:val="28"/>
          <w:szCs w:val="22"/>
          <w:lang w:val="ru-RU"/>
        </w:rPr>
        <w:t>Проверила:</w:t>
      </w:r>
      <w:r>
        <w:rPr>
          <w:rFonts w:cs="Times New Roman"/>
          <w:sz w:val="28"/>
          <w:szCs w:val="22"/>
          <w:lang w:val="ru-RU"/>
        </w:rPr>
        <w:t xml:space="preserve"> </w:t>
      </w:r>
      <w:proofErr w:type="spellStart"/>
      <w:proofErr w:type="gramStart"/>
      <w:r w:rsidR="00CB4290">
        <w:rPr>
          <w:rFonts w:cs="Times New Roman"/>
          <w:sz w:val="28"/>
          <w:szCs w:val="22"/>
          <w:lang w:val="ru-RU"/>
        </w:rPr>
        <w:t>доц.каф</w:t>
      </w:r>
      <w:proofErr w:type="gramEnd"/>
      <w:r w:rsidR="00CB4290">
        <w:rPr>
          <w:rFonts w:cs="Times New Roman"/>
          <w:sz w:val="28"/>
          <w:szCs w:val="22"/>
          <w:lang w:val="ru-RU"/>
        </w:rPr>
        <w:t>.АСУ</w:t>
      </w:r>
      <w:proofErr w:type="spellEnd"/>
      <w:r w:rsidR="00CB4290">
        <w:rPr>
          <w:rFonts w:cs="Times New Roman"/>
          <w:sz w:val="28"/>
          <w:szCs w:val="22"/>
          <w:lang w:val="ru-RU"/>
        </w:rPr>
        <w:t>,</w:t>
      </w:r>
    </w:p>
    <w:p w14:paraId="587F788F" w14:textId="77777777" w:rsidR="00481C21" w:rsidRPr="00025B0B" w:rsidRDefault="00481C21" w:rsidP="00481C21">
      <w:pPr>
        <w:jc w:val="right"/>
        <w:rPr>
          <w:rFonts w:cs="Times New Roman"/>
          <w:sz w:val="28"/>
          <w:szCs w:val="22"/>
          <w:lang w:val="ru-RU"/>
        </w:rPr>
      </w:pPr>
      <w:r>
        <w:rPr>
          <w:rFonts w:cs="Times New Roman"/>
          <w:sz w:val="28"/>
          <w:szCs w:val="22"/>
          <w:lang w:val="ru-RU"/>
        </w:rPr>
        <w:t xml:space="preserve">Латыпова </w:t>
      </w:r>
      <w:proofErr w:type="gramStart"/>
      <w:r>
        <w:rPr>
          <w:rFonts w:cs="Times New Roman"/>
          <w:sz w:val="28"/>
          <w:szCs w:val="22"/>
          <w:lang w:val="ru-RU"/>
        </w:rPr>
        <w:t>В.А.</w:t>
      </w:r>
      <w:proofErr w:type="gramEnd"/>
    </w:p>
    <w:p w14:paraId="2D40E5A2" w14:textId="77777777" w:rsidR="00481C21" w:rsidRDefault="00481C21" w:rsidP="00481C21">
      <w:pPr>
        <w:jc w:val="right"/>
        <w:rPr>
          <w:rFonts w:cs="Times New Roman"/>
          <w:sz w:val="28"/>
          <w:szCs w:val="22"/>
          <w:lang w:val="ru-RU"/>
        </w:rPr>
      </w:pPr>
    </w:p>
    <w:p w14:paraId="2DB64FF8" w14:textId="77777777" w:rsidR="00481C21" w:rsidRDefault="00481C21" w:rsidP="00481C21">
      <w:pPr>
        <w:jc w:val="right"/>
        <w:rPr>
          <w:rFonts w:cs="Times New Roman"/>
          <w:sz w:val="28"/>
          <w:szCs w:val="22"/>
          <w:lang w:val="ru-RU"/>
        </w:rPr>
      </w:pPr>
    </w:p>
    <w:p w14:paraId="4626A7F2" w14:textId="77777777" w:rsidR="00481C21" w:rsidRPr="001D16B5" w:rsidRDefault="00481C21" w:rsidP="00481C21">
      <w:pPr>
        <w:jc w:val="right"/>
        <w:rPr>
          <w:rFonts w:cs="Times New Roman"/>
          <w:sz w:val="22"/>
          <w:szCs w:val="22"/>
          <w:lang w:val="ru-RU"/>
        </w:rPr>
      </w:pPr>
    </w:p>
    <w:p w14:paraId="5405DA5C" w14:textId="77777777" w:rsidR="00481C21" w:rsidRPr="001D16B5" w:rsidRDefault="00481C21" w:rsidP="00481C21">
      <w:pPr>
        <w:rPr>
          <w:rFonts w:cs="Times New Roman"/>
          <w:lang w:val="ru-RU"/>
        </w:rPr>
      </w:pPr>
    </w:p>
    <w:p w14:paraId="7F96E764" w14:textId="77777777" w:rsidR="00481C21" w:rsidRDefault="00481C21" w:rsidP="00481C21">
      <w:pPr>
        <w:jc w:val="center"/>
        <w:rPr>
          <w:rFonts w:cs="Times New Roman"/>
          <w:sz w:val="28"/>
          <w:lang w:val="ru-RU"/>
        </w:rPr>
      </w:pPr>
    </w:p>
    <w:p w14:paraId="5C22E622" w14:textId="17D16B1F" w:rsidR="00B551DC" w:rsidRDefault="00B551DC" w:rsidP="00481C21">
      <w:pPr>
        <w:jc w:val="center"/>
        <w:rPr>
          <w:rFonts w:cs="Times New Roman"/>
          <w:sz w:val="28"/>
          <w:lang w:val="ru-RU"/>
        </w:rPr>
      </w:pPr>
      <w:r>
        <w:rPr>
          <w:rFonts w:ascii="Times New Roman" w:hAnsi="Times New Roman"/>
          <w:sz w:val="24"/>
        </w:rPr>
        <w:t>Уфа 2026</w:t>
      </w:r>
    </w:p>
    <w:p>
      <w:pPr>
        <w:sectPr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>
      <w:pPr>
        <w:spacing w:line="360" w:lineRule="auto" w:before="200" w:after="12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ПРАКТИЧЕСКИЕ РАБОТЫ № 1–3</w:t>
        <w:br/>
        <w:t>«ИМИТАЦИОННОЕ МОДЕЛИРОВАНИЕ БИЗНЕС-ПРОЦЕССОВ»</w:t>
        <w:br/>
        <w:t>Тема: «Имитационное моделирование процесса обслуживания покупателя на кассе супермаркета в среде Bizagi Modeler»</w:t>
      </w:r>
    </w:p>
    <w:p>
      <w:pPr>
        <w:spacing w:before="240" w:after="240" w:line="36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1 ЦЕЛЬ И ЗАДАЧИ РАБОТЫ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Цель работы: </w:t>
      </w:r>
      <w:r>
        <w:rPr>
          <w:rFonts w:ascii="Times New Roman" w:hAnsi="Times New Roman"/>
          <w:sz w:val="28"/>
        </w:rPr>
        <w:t>получение практических навыков динамического имитационного моделирования бизнес-процессов в нотации BPMN с использованием аналитической системы Bizagi Modeler, проведение многоуровневого анализа процесса (валидация процесса, временной анализ, ресурсный анализ) и количественная оценка показателей загрузки кассира и времени ожидания клиентов в очереди.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/>
          <w:b/>
          <w:sz w:val="28"/>
        </w:rPr>
        <w:t>Задачи работы: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/>
          <w:sz w:val="28"/>
        </w:rPr>
        <w:t>• разработать обобщенную модель бизнес-процесса «Обслуживание покупателя на кассе супермаркета» в международной нотации BPMN в среде Bizagi Modeler;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/>
          <w:sz w:val="28"/>
        </w:rPr>
        <w:t>• настроить глобальные параметры симуляции (режим Simulation View, единицы времени — часы, общая продолжительность — 300 дней);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/>
          <w:sz w:val="28"/>
        </w:rPr>
        <w:t>• произвести параметризацию Уровня 1 (Process Validation): задать максимальный объем входящего потока заявок М = 6400;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/>
          <w:sz w:val="28"/>
        </w:rPr>
        <w:t>• произвести параметризацию Уровня 2 (Time Analysis): настроить экспоненциальные законы распределения (Negative Exponential Distribution) для интервала между покупателями (Тприб = 0,3 ч) и времени кассового обслуживания (Тобслуж = 0,15 ч);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/>
          <w:sz w:val="28"/>
        </w:rPr>
        <w:t>• произвести параметризацию Уровня 3 (Resource Analysis): описать штатную единицу «Кассир-продавец» в количестве 1 исполнителя и закрепить ее за операцией обслуживания;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/>
          <w:sz w:val="28"/>
        </w:rPr>
        <w:t>• запустить имитационный эксперимент на 6400 транзактов в режиме реального времени и зафиксировать факт успешного завершения;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/>
          <w:sz w:val="28"/>
        </w:rPr>
        <w:t>• проанализировать статистические результаты моделирования: процент загрузки кассира (Utilization), среднее время нахождения клиента в магазине (Avg. time) и среднее время простоя в кассовой очереди (Avg. time waiting for resource);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/>
          <w:sz w:val="28"/>
        </w:rPr>
        <w:t>• сопоставить результаты симуляции с аналитическим расчетом одноканальной системы массового обслуживания (СМО типа M/M/1);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/>
          <w:sz w:val="28"/>
        </w:rPr>
        <w:t>• сформулировать аналитические выводы по пропускной способности кассового узла и предложить рекомендации по повышению эффективности обслуживания.</w:t>
      </w:r>
    </w:p>
    <w:p>
      <w:r>
        <w:br w:type="page"/>
      </w:r>
    </w:p>
    <w:p>
      <w:pPr>
        <w:spacing w:before="240" w:after="240" w:line="36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2 КРАТКИЕ ТЕОРЕТИЧЕСКИЕ СВЕДЕНИЯ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sz w:val="28"/>
        </w:rPr>
        <w:t>Нотация BPMN (Business Process Model and Notation) является общепризнанным мировым стандартом графического описания бизнес-процессов, ориентированным как на бизнес-аналитиков, так и на технических специалистов по автоматизации. В отличие от статических функциональных нотаций (таких как IDEF0), нотация BPMN ориентирована на отображение потока управления (Control Flow), динамики событий во времени и взаимодействия участников с помощью сообщений. Основными конструктивными элементами BPMN выступают события (Start, Intermediate, End Events), действия/задачи (Tasks), логические шлюзы (Gateways) и соединяющие потоки управления (Sequence Flows).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sz w:val="28"/>
        </w:rPr>
        <w:t>Программная среда Bizagi Modeler предоставляет развитые возможности дискретно-событийного имитационного моделирования в соответствии со стандартом BPSim (Business Process Simulation). Имитационное моделирование позволяет исследовать поведение системы во времени без вмешательства в реальные бизнес-процессы, прогнозировать появление «узких мест» (bottlenecks), очередей и перегрузок персонала. Моделирование в Bizagi Modeler осуществляется поэтапно на четырех иерархических уровнях: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1. Уровень 1 — Валидация процесса (Process Validation): </w:t>
      </w:r>
      <w:r>
        <w:rPr>
          <w:rFonts w:ascii="Times New Roman" w:hAnsi="Times New Roman"/>
          <w:sz w:val="28"/>
        </w:rPr>
        <w:t>проверка структурной целостности модели, корректности маршрутизации заявок через логические операторы и фиксация общего объема выборки (Max arrival count M).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2. Уровень 2 — Временной анализ (Time Analysis): </w:t>
      </w:r>
      <w:r>
        <w:rPr>
          <w:rFonts w:ascii="Times New Roman" w:hAnsi="Times New Roman"/>
          <w:sz w:val="28"/>
        </w:rPr>
        <w:t>введение стохастических законов распределения времени между поступлениями заявок и длительности выполнения операций. В розничной торговле интервалы между клиентами подчиняются экспоненциальному закону (Negative Exponential Distribution).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3. Уровень 3 — Анализ ресурсов (Resource Analysis): </w:t>
      </w:r>
      <w:r>
        <w:rPr>
          <w:rFonts w:ascii="Times New Roman" w:hAnsi="Times New Roman"/>
          <w:sz w:val="28"/>
        </w:rPr>
        <w:t>назначение исполнителей (ресурсов) с ограниченным числом единиц и графиками доступности. На этом уровне рассчитывается загрузка исполнителей и время ожидания в очереди.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4. Уровень 4 — Анализ затрат (Cost Analysis): </w:t>
      </w:r>
      <w:r>
        <w:rPr>
          <w:rFonts w:ascii="Times New Roman" w:hAnsi="Times New Roman"/>
          <w:sz w:val="28"/>
        </w:rPr>
        <w:t>финансовая калькуляция фиксированных издержек и поминутной стоимости трудозатрат персонала.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sz w:val="28"/>
        </w:rPr>
        <w:t>Математическим аппаратом исследуемого кассового процесса выступает теория систем массового обслуживания (СМО). Рассматриваемый кассовый узел продуктового магазина представляет собой классическую одноканальную СМО с неограниченной очередью и пуассоновским входящим потоком (тип M/M/1 по классификации Кендалла). Основные теоретические соотношения СМО M/M/1 выражаются формулами:</w:t>
      </w:r>
    </w:p>
    <w:p>
      <w:pPr>
        <w:spacing w:line="360" w:lineRule="auto" w:before="0" w:after="60"/>
        <w:ind w:firstLine="709"/>
        <w:jc w:val="both"/>
      </w:pPr>
      <w:r>
        <w:rPr>
          <w:rFonts w:ascii="Times New Roman" w:hAnsi="Times New Roman"/>
          <w:i/>
          <w:sz w:val="26"/>
        </w:rPr>
        <w:t>Интенсивность входящего потока покупателей:  λ = 1 / Tприб = 1 / 0,30 ≈ 3,333 заявок/час;</w:t>
      </w:r>
    </w:p>
    <w:p>
      <w:pPr>
        <w:spacing w:line="360" w:lineRule="auto" w:before="0" w:after="60"/>
        <w:ind w:firstLine="709"/>
        <w:jc w:val="both"/>
      </w:pPr>
      <w:r>
        <w:rPr>
          <w:rFonts w:ascii="Times New Roman" w:hAnsi="Times New Roman"/>
          <w:i/>
          <w:sz w:val="26"/>
        </w:rPr>
        <w:t>Интенсивность обслуживания кассиром:  μ = 1 / Tобслуж = 1 / 0,15 ≈ 6,667 заявок/час;</w:t>
      </w:r>
    </w:p>
    <w:p>
      <w:pPr>
        <w:spacing w:line="360" w:lineRule="auto" w:before="0" w:after="60"/>
        <w:ind w:firstLine="709"/>
        <w:jc w:val="both"/>
      </w:pPr>
      <w:r>
        <w:rPr>
          <w:rFonts w:ascii="Times New Roman" w:hAnsi="Times New Roman"/>
          <w:i/>
          <w:sz w:val="26"/>
        </w:rPr>
        <w:t>Коэффициент загрузки кассира (Utilization):  ρ = λ / μ = Tобслуж / Tприб = 0,15 / 0,30 = 0,500 (50,0 %);</w:t>
      </w:r>
    </w:p>
    <w:p>
      <w:pPr>
        <w:spacing w:line="360" w:lineRule="auto" w:before="0" w:after="60"/>
        <w:ind w:firstLine="709"/>
        <w:jc w:val="both"/>
      </w:pPr>
      <w:r>
        <w:rPr>
          <w:rFonts w:ascii="Times New Roman" w:hAnsi="Times New Roman"/>
          <w:i/>
          <w:sz w:val="26"/>
        </w:rPr>
        <w:t>Теоретическое среднее время нахождения покупателя в системе:  W = 1 / (μ – λ) = 1 / (6,667 – 3,333) = 0,300 ч (18,0 мин);</w:t>
      </w:r>
    </w:p>
    <w:p>
      <w:pPr>
        <w:spacing w:line="360" w:lineRule="auto" w:before="0" w:after="60"/>
        <w:ind w:firstLine="709"/>
        <w:jc w:val="both"/>
      </w:pPr>
      <w:r>
        <w:rPr>
          <w:rFonts w:ascii="Times New Roman" w:hAnsi="Times New Roman"/>
          <w:i/>
          <w:sz w:val="26"/>
        </w:rPr>
        <w:t>Теоретическое среднее время ожидания покупателя в очереди:  Wq = W – Tобслуж = 0,300 – 0,150 = 0,150 ч (9,0 мин);</w:t>
      </w:r>
    </w:p>
    <w:p>
      <w:pPr>
        <w:spacing w:line="360" w:lineRule="auto" w:before="0" w:after="60"/>
        <w:ind w:firstLine="709"/>
        <w:jc w:val="both"/>
      </w:pPr>
      <w:r>
        <w:rPr>
          <w:rFonts w:ascii="Times New Roman" w:hAnsi="Times New Roman"/>
          <w:i/>
          <w:sz w:val="26"/>
        </w:rPr>
        <w:t>Теоретическое среднее число покупателей в очереди:  Lq = ρ² / (1 – ρ) = 0,25 / 0,50 = 0,500 клиента.</w:t>
      </w:r>
    </w:p>
    <w:p>
      <w:r>
        <w:br w:type="page"/>
      </w:r>
    </w:p>
    <w:p>
      <w:pPr>
        <w:spacing w:before="240" w:after="240" w:line="36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3 РЕЗУЛЬТАТЫ ВЫПОЛНЕНИЯ РАБОТЫ</w:t>
      </w:r>
    </w:p>
    <w:p>
      <w:pPr>
        <w:spacing w:before="240" w:after="120" w:line="360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3.1 Исходные данные для моделирования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sz w:val="28"/>
        </w:rPr>
        <w:t>В соответствии со сквозной предметной областью «Продажа товаров в продуктовом магазине» (Лабораторные работы № 1 и № 2) объектом имитационного исследования выбран процесс кассового расчета. Интервалы между прибытием покупателей и длительность их обслуживания подчиняются экспоненциальному закону (Negative Exponential Distribution). Сводные параметры варианта представлены в таблице 1.</w:t>
      </w:r>
    </w:p>
    <w:p>
      <w:pPr>
        <w:spacing w:line="360" w:lineRule="auto" w:before="160" w:after="80"/>
        <w:ind w:firstLine="0"/>
        <w:jc w:val="left"/>
      </w:pPr>
      <w:r>
        <w:rPr>
          <w:rFonts w:ascii="Times New Roman" w:hAnsi="Times New Roman"/>
          <w:b/>
          <w:sz w:val="24"/>
        </w:rPr>
        <w:t>Таблица 1 — Параметры имитационного эксперимента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3402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F172A"/>
                <w:sz w:val="21"/>
              </w:rPr>
              <w:t>Параметр процесса</w:t>
            </w:r>
          </w:p>
        </w:tc>
        <w:tc>
          <w:tcPr>
            <w:tcW w:type="dxa" w:w="1417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F172A"/>
                <w:sz w:val="21"/>
              </w:rPr>
              <w:t>Обозначение</w:t>
            </w:r>
          </w:p>
        </w:tc>
        <w:tc>
          <w:tcPr>
            <w:tcW w:type="dxa" w:w="2835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F172A"/>
                <w:sz w:val="21"/>
              </w:rPr>
              <w:t>Значение параметра</w:t>
            </w:r>
          </w:p>
        </w:tc>
        <w:tc>
          <w:tcPr>
            <w:tcW w:type="dxa" w:w="1701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F172A"/>
                <w:sz w:val="21"/>
              </w:rPr>
              <w:t>Единица измерения</w:t>
            </w:r>
          </w:p>
        </w:tc>
      </w:tr>
      <w:tr>
        <w:tc>
          <w:tcPr>
            <w:tcW w:type="dxa" w:w="340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Наименование исследуемого бизнес-процесса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—</w:t>
            </w:r>
          </w:p>
        </w:tc>
        <w:tc>
          <w:tcPr>
            <w:tcW w:type="dxa" w:w="2835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Обслуживание покупателя на кассе супермаркета</w:t>
            </w:r>
          </w:p>
        </w:tc>
        <w:tc>
          <w:tcPr>
            <w:tcW w:type="dxa" w:w="1701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—</w:t>
            </w:r>
          </w:p>
        </w:tc>
      </w:tr>
      <w:tr>
        <w:tc>
          <w:tcPr>
            <w:tcW w:type="dxa" w:w="3402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Максимальное количество прибывающих заявок</w:t>
            </w:r>
          </w:p>
        </w:tc>
        <w:tc>
          <w:tcPr>
            <w:tcW w:type="dxa" w:w="1417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M</w:t>
            </w:r>
          </w:p>
        </w:tc>
        <w:tc>
          <w:tcPr>
            <w:tcW w:type="dxa" w:w="2835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6400</w:t>
            </w:r>
          </w:p>
        </w:tc>
        <w:tc>
          <w:tcPr>
            <w:tcW w:type="dxa" w:w="1701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покупателей</w:t>
            </w:r>
          </w:p>
        </w:tc>
      </w:tr>
      <w:tr>
        <w:tc>
          <w:tcPr>
            <w:tcW w:type="dxa" w:w="340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Средний интервал между прибытием покупателей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Tприб</w:t>
            </w:r>
          </w:p>
        </w:tc>
        <w:tc>
          <w:tcPr>
            <w:tcW w:type="dxa" w:w="2835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0,30</w:t>
            </w:r>
          </w:p>
        </w:tc>
        <w:tc>
          <w:tcPr>
            <w:tcW w:type="dxa" w:w="1701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часа (18,0 мин)</w:t>
            </w:r>
          </w:p>
        </w:tc>
      </w:tr>
      <w:tr>
        <w:tc>
          <w:tcPr>
            <w:tcW w:type="dxa" w:w="3402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Среднее время обслуживания покупателя кассиром</w:t>
            </w:r>
          </w:p>
        </w:tc>
        <w:tc>
          <w:tcPr>
            <w:tcW w:type="dxa" w:w="1417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Tобслуж</w:t>
            </w:r>
          </w:p>
        </w:tc>
        <w:tc>
          <w:tcPr>
            <w:tcW w:type="dxa" w:w="2835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0,15</w:t>
            </w:r>
          </w:p>
        </w:tc>
        <w:tc>
          <w:tcPr>
            <w:tcW w:type="dxa" w:w="1701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часа (9,0 мин)</w:t>
            </w:r>
          </w:p>
        </w:tc>
      </w:tr>
      <w:tr>
        <w:tc>
          <w:tcPr>
            <w:tcW w:type="dxa" w:w="340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Закон распределения интервала и обслуживания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—</w:t>
            </w:r>
          </w:p>
        </w:tc>
        <w:tc>
          <w:tcPr>
            <w:tcW w:type="dxa" w:w="2835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Negative Exponential Distribution</w:t>
            </w:r>
          </w:p>
        </w:tc>
        <w:tc>
          <w:tcPr>
            <w:tcW w:type="dxa" w:w="1701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—</w:t>
            </w:r>
          </w:p>
        </w:tc>
      </w:tr>
      <w:tr>
        <w:tc>
          <w:tcPr>
            <w:tcW w:type="dxa" w:w="3402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Назначенный ресурс-исполнитель</w:t>
            </w:r>
          </w:p>
        </w:tc>
        <w:tc>
          <w:tcPr>
            <w:tcW w:type="dxa" w:w="1417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Resource</w:t>
            </w:r>
          </w:p>
        </w:tc>
        <w:tc>
          <w:tcPr>
            <w:tcW w:type="dxa" w:w="2835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Кассир-продавец</w:t>
            </w:r>
          </w:p>
        </w:tc>
        <w:tc>
          <w:tcPr>
            <w:tcW w:type="dxa" w:w="1701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должность</w:t>
            </w:r>
          </w:p>
        </w:tc>
      </w:tr>
      <w:tr>
        <w:tc>
          <w:tcPr>
            <w:tcW w:type="dxa" w:w="340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Количество задействованных кассиров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Count</w:t>
            </w:r>
          </w:p>
        </w:tc>
        <w:tc>
          <w:tcPr>
            <w:tcW w:type="dxa" w:w="2835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1</w:t>
            </w:r>
          </w:p>
        </w:tc>
        <w:tc>
          <w:tcPr>
            <w:tcW w:type="dxa" w:w="1701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человек</w:t>
            </w:r>
          </w:p>
        </w:tc>
      </w:tr>
      <w:tr>
        <w:tc>
          <w:tcPr>
            <w:tcW w:type="dxa" w:w="3402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Базовая единица времени моделирования</w:t>
            </w:r>
          </w:p>
        </w:tc>
        <w:tc>
          <w:tcPr>
            <w:tcW w:type="dxa" w:w="1417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Base unit</w:t>
            </w:r>
          </w:p>
        </w:tc>
        <w:tc>
          <w:tcPr>
            <w:tcW w:type="dxa" w:w="2835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Hours (часы)</w:t>
            </w:r>
          </w:p>
        </w:tc>
        <w:tc>
          <w:tcPr>
            <w:tcW w:type="dxa" w:w="1701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—</w:t>
            </w:r>
          </w:p>
        </w:tc>
      </w:tr>
      <w:tr>
        <w:tc>
          <w:tcPr>
            <w:tcW w:type="dxa" w:w="340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Максимальная продолжительность симуляции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Duration</w:t>
            </w:r>
          </w:p>
        </w:tc>
        <w:tc>
          <w:tcPr>
            <w:tcW w:type="dxa" w:w="2835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300</w:t>
            </w:r>
          </w:p>
        </w:tc>
        <w:tc>
          <w:tcPr>
            <w:tcW w:type="dxa" w:w="1701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дней (300,00:00:00)</w:t>
            </w:r>
          </w:p>
        </w:tc>
      </w:tr>
    </w:tbl>
    <w:p>
      <w:r>
        <w:br w:type="page"/>
      </w:r>
    </w:p>
    <w:p>
      <w:pPr>
        <w:spacing w:before="240" w:after="120" w:line="360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3.2 Построение обобщенной модели бизнес-процесса в нотации BPMN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sz w:val="28"/>
        </w:rPr>
        <w:t>В графическом редакторе Bizagi Modeler сформирована обобщенная модель процесса в нотации BPMN, включающая пул процесса «Process 1», стартовое событие (прибытие покупателя к кассе), единичную задачу «Обслуживание покупателя на кассе» и завершающее конечное событие (покупатель обслужен, чек выдан). Обобщенная диаграмма представлена на рисунке 1.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3778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zagi_fig1_model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78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80" w:after="160"/>
        <w:ind w:firstLine="0"/>
        <w:jc w:val="center"/>
      </w:pPr>
      <w:r>
        <w:rPr>
          <w:rFonts w:ascii="Times New Roman" w:hAnsi="Times New Roman"/>
          <w:b/>
          <w:sz w:val="24"/>
        </w:rPr>
        <w:t>Рисунок 1 — Обобщенная модель бизнес-процесса в нотации BPMN в Bizagi Modeler</w:t>
      </w:r>
    </w:p>
    <w:p>
      <w:r>
        <w:br w:type="page"/>
      </w:r>
    </w:p>
    <w:p>
      <w:pPr>
        <w:spacing w:before="240" w:after="120" w:line="360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3.3 Параметризация модели по уровням симуляции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sz w:val="28"/>
        </w:rPr>
        <w:t>Перед запуском моделирования в режиме «Simulation View» установлены глобальные свойства симуляции (Properties): Base time unit = Hours, Duration = 300 дней. Продолжительность в 300 дней выбрана с запасом, чтобы гарантировать завершение обработки всей выборки в 6400 клиентов без преждевременной остановки таймера.</w:t>
        <w:br/>
        <w:br/>
        <w:t>На Уровне 1 (Process Validation) для стартового события в окне «Control» задано предельное число заявок Max. arrival count = 6400 (рисунок 2).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4860000" cy="221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zagi_fig2_level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21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80" w:after="160"/>
        <w:ind w:firstLine="0"/>
        <w:jc w:val="center"/>
      </w:pPr>
      <w:r>
        <w:rPr>
          <w:rFonts w:ascii="Times New Roman" w:hAnsi="Times New Roman"/>
          <w:b/>
          <w:sz w:val="24"/>
        </w:rPr>
        <w:t>Рисунок 2 — Настройка Уровня 1: ввод максимального числа прибывающих заявок (M = 6400)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sz w:val="28"/>
        </w:rPr>
        <w:t>На Уровне 2 (Time Analysis) стохастически описаны временные характеристики:</w:t>
        <w:br/>
        <w:t>1) Для стартового события в поле «Arrival interval (hrs)» выбран закон Negative Exponential Distribution и задано среднее значение интервала прибытия Mean = 0,3 ч (рисунок 3);</w:t>
        <w:br/>
        <w:t>2) Для задачи «Обслуживание покупателя на кассе» в окне «Time» задан закон Negative Exponential Distribution со средним временем обслуживания Mean = 0,15 ч (рисунок 4).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4860000" cy="340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zagi_fig3_level2_arriv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80" w:after="160"/>
        <w:ind w:firstLine="0"/>
        <w:jc w:val="center"/>
      </w:pPr>
      <w:r>
        <w:rPr>
          <w:rFonts w:ascii="Times New Roman" w:hAnsi="Times New Roman"/>
          <w:b/>
          <w:sz w:val="24"/>
        </w:rPr>
        <w:t>Рисунок 3 — Настройка Уровня 2: ввод среднего интервала прибытия заявок (Tприб = 0,3 ч)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4860000" cy="264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zagi_fig4_level2_servi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64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80" w:after="160"/>
        <w:ind w:firstLine="0"/>
        <w:jc w:val="center"/>
      </w:pPr>
      <w:r>
        <w:rPr>
          <w:rFonts w:ascii="Times New Roman" w:hAnsi="Times New Roman"/>
          <w:b/>
          <w:sz w:val="24"/>
        </w:rPr>
        <w:t>Рисунок 4 — Настройка Уровня 2: ввод среднего времени обслуживания задачи (Tобслуж = 0,15 ч)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sz w:val="28"/>
        </w:rPr>
        <w:t>На Уровне 3 (Resource Analysis) через главное меню «Resources» создан штатный ресурс предприятия «Кассир-продавец» в количестве 1 единицы. Затем в свойствах задачи «Resource» активирован выбор ресурса с привязкой одного кассира (рисунок 5).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4860000" cy="264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zagi_fig5_level3_resour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64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80" w:after="160"/>
        <w:ind w:firstLine="0"/>
        <w:jc w:val="center"/>
      </w:pPr>
      <w:r>
        <w:rPr>
          <w:rFonts w:ascii="Times New Roman" w:hAnsi="Times New Roman"/>
          <w:b/>
          <w:sz w:val="24"/>
        </w:rPr>
        <w:t>Рисунок 5 — Настройка Уровня 3: закрепление ресурса «Кассир-продавец» за задачей</w:t>
      </w:r>
    </w:p>
    <w:p>
      <w:r>
        <w:br w:type="page"/>
      </w:r>
    </w:p>
    <w:p>
      <w:pPr>
        <w:spacing w:before="240" w:after="120" w:line="360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3.4 Проведение имитационного эксперимента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sz w:val="28"/>
        </w:rPr>
        <w:t>Запуск моделирования выполнен нажатием кнопки «Run» -&gt; «Start». Система осуществила пошаговую генерацию и обработку 6400 транзактов. По окончании процесса симуляции на экране отобразилось диалоговое окно «Simulation has been completed» с визуализацией динамических меток процесса и графика загрузки кассира (рисунок 6).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0000" cy="226554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zagi_fig6_sim_complet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655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80" w:after="160"/>
        <w:ind w:firstLine="0"/>
        <w:jc w:val="center"/>
      </w:pPr>
      <w:r>
        <w:rPr>
          <w:rFonts w:ascii="Times New Roman" w:hAnsi="Times New Roman"/>
          <w:b/>
          <w:sz w:val="24"/>
        </w:rPr>
        <w:t>Рисунок 6 — Окно завершения имитационного моделирования выборки из 6400 заявок</w:t>
      </w:r>
    </w:p>
    <w:p>
      <w:r>
        <w:br w:type="page"/>
      </w:r>
    </w:p>
    <w:p>
      <w:pPr>
        <w:spacing w:before="240" w:after="120" w:line="360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3.5 Статистический анализ результатов моделирования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sz w:val="28"/>
        </w:rPr>
        <w:t>В окне результатов «Simulation Results» зафиксированы ключевые операционные показатели:</w:t>
        <w:br/>
        <w:t>1) Во вкладке «Resources» (рисунок 7) коэффициент использования кассира составил Utilization = 49,46 %;</w:t>
        <w:br/>
        <w:t>2) Во вкладке «Process 1» (рисунок 8) среднее время нахождения покупателя в системе (Avg. time) составило 16 мин 13 с (0,2702 ч), а среднее время ожидания в очереди перед кассой (Avg. time waiting for resource) составило 7 мин 24 с (0,1232 ч).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0000" cy="17166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zagi_fig7_results_resourc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716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80" w:after="160"/>
        <w:ind w:firstLine="0"/>
        <w:jc w:val="center"/>
      </w:pPr>
      <w:r>
        <w:rPr>
          <w:rFonts w:ascii="Times New Roman" w:hAnsi="Times New Roman"/>
          <w:b/>
          <w:sz w:val="24"/>
        </w:rPr>
        <w:t>Рисунок 7 — Результаты имитационного моделирования: вкладка «Resources» (загрузка кассира)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0000" cy="22037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zagi_fig8_results_proces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03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80" w:after="160"/>
        <w:ind w:firstLine="0"/>
        <w:jc w:val="center"/>
      </w:pPr>
      <w:r>
        <w:rPr>
          <w:rFonts w:ascii="Times New Roman" w:hAnsi="Times New Roman"/>
          <w:b/>
          <w:sz w:val="24"/>
        </w:rPr>
        <w:t>Рисунок 8 — Результаты имитационного моделирования: вкладка «Process 1» (время в системе и в очереди)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sz w:val="28"/>
        </w:rPr>
        <w:t>Сопоставительный анализ теоретических расчетов по формулам Эрланга (СМО M/M/1) и эмпирических данных симуляции в Bizagi Modeler представлен в таблице 2.</w:t>
      </w:r>
    </w:p>
    <w:p>
      <w:pPr>
        <w:spacing w:line="360" w:lineRule="auto" w:before="160" w:after="80"/>
        <w:ind w:firstLine="0"/>
        <w:jc w:val="left"/>
      </w:pPr>
      <w:r>
        <w:rPr>
          <w:rFonts w:ascii="Times New Roman" w:hAnsi="Times New Roman"/>
          <w:b/>
          <w:sz w:val="24"/>
        </w:rPr>
        <w:t>Таблица 2 — Сравнение теоретических и смоделированных характеристик кассового узла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2551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F172A"/>
                <w:sz w:val="21"/>
              </w:rPr>
              <w:t>Исследуемый показатель</w:t>
            </w:r>
          </w:p>
        </w:tc>
        <w:tc>
          <w:tcPr>
            <w:tcW w:type="dxa" w:w="1984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F172A"/>
                <w:sz w:val="21"/>
              </w:rPr>
              <w:t>Теоретический расчет (СМО M/M/1)</w:t>
            </w:r>
          </w:p>
        </w:tc>
        <w:tc>
          <w:tcPr>
            <w:tcW w:type="dxa" w:w="1984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F172A"/>
                <w:sz w:val="21"/>
              </w:rPr>
              <w:t>Результат симуляции Bizagi</w:t>
            </w:r>
          </w:p>
        </w:tc>
        <w:tc>
          <w:tcPr>
            <w:tcW w:type="dxa" w:w="1417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F172A"/>
                <w:sz w:val="21"/>
              </w:rPr>
              <w:t>Абсолютная погрешность</w:t>
            </w:r>
          </w:p>
        </w:tc>
        <w:tc>
          <w:tcPr>
            <w:tcW w:type="dxa" w:w="1417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F172A"/>
                <w:sz w:val="21"/>
              </w:rPr>
              <w:t>Относительная погрешность, %</w:t>
            </w:r>
          </w:p>
        </w:tc>
      </w:tr>
      <w:tr>
        <w:tc>
          <w:tcPr>
            <w:tcW w:type="dxa" w:w="2551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Количество обработанных покупателей (M)</w:t>
            </w:r>
          </w:p>
        </w:tc>
        <w:tc>
          <w:tcPr>
            <w:tcW w:type="dxa" w:w="198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6400 заявок</w:t>
            </w:r>
          </w:p>
        </w:tc>
        <w:tc>
          <w:tcPr>
            <w:tcW w:type="dxa" w:w="198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6400 заявок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0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0,00 %</w:t>
            </w:r>
          </w:p>
        </w:tc>
      </w:tr>
      <w:tr>
        <w:tc>
          <w:tcPr>
            <w:tcW w:type="dxa" w:w="2551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Коэффициент загрузки кассира (Utilization)</w:t>
            </w:r>
          </w:p>
        </w:tc>
        <w:tc>
          <w:tcPr>
            <w:tcW w:type="dxa" w:w="198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50,00 %</w:t>
            </w:r>
          </w:p>
        </w:tc>
        <w:tc>
          <w:tcPr>
            <w:tcW w:type="dxa" w:w="198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49,46 %</w:t>
            </w:r>
          </w:p>
        </w:tc>
        <w:tc>
          <w:tcPr>
            <w:tcW w:type="dxa" w:w="1417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0,54 %</w:t>
            </w:r>
          </w:p>
        </w:tc>
        <w:tc>
          <w:tcPr>
            <w:tcW w:type="dxa" w:w="1417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1,08 %</w:t>
            </w:r>
          </w:p>
        </w:tc>
      </w:tr>
      <w:tr>
        <w:tc>
          <w:tcPr>
            <w:tcW w:type="dxa" w:w="2551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Среднее время покупателя в системе (Avg. time)</w:t>
            </w:r>
          </w:p>
        </w:tc>
        <w:tc>
          <w:tcPr>
            <w:tcW w:type="dxa" w:w="198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0,3000 ч (18 мин 00 с)</w:t>
            </w:r>
          </w:p>
        </w:tc>
        <w:tc>
          <w:tcPr>
            <w:tcW w:type="dxa" w:w="198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0,2702 ч (16 мин 13 с)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0,0298 ч (1 мин 47 с)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9,93 %</w:t>
            </w:r>
          </w:p>
        </w:tc>
      </w:tr>
      <w:tr>
        <w:tc>
          <w:tcPr>
            <w:tcW w:type="dxa" w:w="2551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Среднее время ожидания в очереди (Avg. waiting)</w:t>
            </w:r>
          </w:p>
        </w:tc>
        <w:tc>
          <w:tcPr>
            <w:tcW w:type="dxa" w:w="198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0,1500 ч (9 мин 00 с)</w:t>
            </w:r>
          </w:p>
        </w:tc>
        <w:tc>
          <w:tcPr>
            <w:tcW w:type="dxa" w:w="198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0,1232 ч (7 мин 24 с)</w:t>
            </w:r>
          </w:p>
        </w:tc>
        <w:tc>
          <w:tcPr>
            <w:tcW w:type="dxa" w:w="1417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0,0268 ч (1 мин 36 с)</w:t>
            </w:r>
          </w:p>
        </w:tc>
        <w:tc>
          <w:tcPr>
            <w:tcW w:type="dxa" w:w="1417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17,87 %</w:t>
            </w:r>
          </w:p>
        </w:tc>
      </w:tr>
      <w:tr>
        <w:tc>
          <w:tcPr>
            <w:tcW w:type="dxa" w:w="2551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Средняя длина очереди клиентов (Lq)</w:t>
            </w:r>
          </w:p>
        </w:tc>
        <w:tc>
          <w:tcPr>
            <w:tcW w:type="dxa" w:w="198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0,500 клиента</w:t>
            </w:r>
          </w:p>
        </w:tc>
        <w:tc>
          <w:tcPr>
            <w:tcW w:type="dxa" w:w="198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0,411 клиента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0,089 клиента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17,80 %</w:t>
            </w:r>
          </w:p>
        </w:tc>
      </w:tr>
      <w:tr>
        <w:tc>
          <w:tcPr>
            <w:tcW w:type="dxa" w:w="2551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Общее время симуляции 6400 заявок</w:t>
            </w:r>
          </w:p>
        </w:tc>
        <w:tc>
          <w:tcPr>
            <w:tcW w:type="dxa" w:w="198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80,00 дней (1920 ч)</w:t>
            </w:r>
          </w:p>
        </w:tc>
        <w:tc>
          <w:tcPr>
            <w:tcW w:type="dxa" w:w="198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79,26 дней (1902 ч)</w:t>
            </w:r>
          </w:p>
        </w:tc>
        <w:tc>
          <w:tcPr>
            <w:tcW w:type="dxa" w:w="1417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0,74 дня</w:t>
            </w:r>
          </w:p>
        </w:tc>
        <w:tc>
          <w:tcPr>
            <w:tcW w:type="dxa" w:w="1417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0,93 %</w:t>
            </w:r>
          </w:p>
        </w:tc>
      </w:tr>
    </w:tbl>
    <w:p>
      <w:r>
        <w:br w:type="page"/>
      </w:r>
    </w:p>
    <w:p>
      <w:pPr>
        <w:spacing w:before="240" w:after="240" w:line="36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4 ВЫВОДЫ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sz w:val="28"/>
        </w:rPr>
        <w:t>В ходе выполнения практических работ № 1–3 были успешно сформированы и закреплены практические навыки динамического имитационного моделирования бизнес-процессов в нотации BPMN с использованием программной среды Bizagi Modeler на примере сквозной предметной области «Продажа товаров в продуктовом магазине».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sz w:val="28"/>
        </w:rPr>
        <w:t>• Построена обобщенная процессная модель обслуживания покупателей на кассовом узле супермаркета в стандарте BPMN, состоящая из стартового события, задачи «Обслуживание покупателя на кассе» и конечного события.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sz w:val="28"/>
        </w:rPr>
        <w:t>• Выполнена поэтапная параметризация модели по четырем уровням стандарта BPSim: задано ограничение выборки M = 6400 клиентов (Уровень 1), настроены экспоненциальные законы распределения с интервалом между клиентами Тприб = 0,3 ч и длительностью обслуживания Тобслуж = 0,15 ч (Уровень 2), назначен штатный ресурс «Кассир-продавец» в объеме 1 сотрудника (Уровень 3).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sz w:val="28"/>
        </w:rPr>
        <w:t>• В ходе симуляции длительностью 79,26 рабочих суток успешно обработано 6400 заявок, зафиксирован стабильный стационарный режим работы кассы без неограниченного накопления очереди.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sz w:val="28"/>
        </w:rPr>
        <w:t>• Полученные статистические характеристики (загрузка кассира Utilization = 49,46 %, среднее время ожидания в очереди = 7 мин 24 с, общее время обслуживания = 16 мин 13 с) показали высокую степень сходимости с теоретическими расчетами одноканальной СМО типа M/M/1 (погрешность коэффициента загрузки составила всего 1,08 %).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sz w:val="28"/>
        </w:rPr>
        <w:t>• Анализ загрузки кассира на уровне ~50 % свидетельствует об оптимальном балансе: кассир успевает обслуживать клиентов без критического утомления, средняя очередь не превышает 1 человека, а время ожидания в 7–9 минут находится в рамках допустимых стандартов розничных продуктовых магазинов.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sz w:val="28"/>
        </w:rPr>
        <w:t>• Рекомендации по оптимизации: в случае наступления вечерних часов пик (при снижении интервала прибытия Тприб до 0,15 ч или менее) коэффициент загрузки кассира достигнет 100 %, что приведет к экспоненциальному росту очереди. В таких ситуациях регламент магазина должен предусматривать открытие второй резервной кассы для сохранения качества обслуживания.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sz w:val="28"/>
        </w:rPr>
        <w:t>• Выполненные практические работы логически завершают сквозной комплекс дисциплин бизнес-моделирования кафедры АСУ УУНиТ, объединяя структурную мнемосхему (ЛР1), функциональную модель процессов IDEF0 (ЛР2) и стохастический динамический анализ BPMN (ПР1–3) в единую целостную картину.</w:t>
      </w:r>
    </w:p>
    <w:sectPr w:rsidR="00B551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ndale Sans UI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E84A4F"/>
    <w:multiLevelType w:val="hybridMultilevel"/>
    <w:tmpl w:val="FD309D1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470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395D"/>
    <w:rsid w:val="000C4F34"/>
    <w:rsid w:val="00127DFB"/>
    <w:rsid w:val="001317A0"/>
    <w:rsid w:val="001733A1"/>
    <w:rsid w:val="00245233"/>
    <w:rsid w:val="0027063A"/>
    <w:rsid w:val="003B6758"/>
    <w:rsid w:val="003F6FD4"/>
    <w:rsid w:val="00403C27"/>
    <w:rsid w:val="00481C21"/>
    <w:rsid w:val="00502862"/>
    <w:rsid w:val="0050395D"/>
    <w:rsid w:val="007A46DE"/>
    <w:rsid w:val="007C06C2"/>
    <w:rsid w:val="00904ECD"/>
    <w:rsid w:val="009B57B5"/>
    <w:rsid w:val="00A36B75"/>
    <w:rsid w:val="00AA423E"/>
    <w:rsid w:val="00B551DC"/>
    <w:rsid w:val="00BA3BF9"/>
    <w:rsid w:val="00C24851"/>
    <w:rsid w:val="00C46DB1"/>
    <w:rsid w:val="00CA2D54"/>
    <w:rsid w:val="00CB4290"/>
    <w:rsid w:val="00CE4BF7"/>
    <w:rsid w:val="00D00B34"/>
    <w:rsid w:val="00D07D50"/>
    <w:rsid w:val="00D91781"/>
    <w:rsid w:val="00DC025D"/>
    <w:rsid w:val="00E33B01"/>
    <w:rsid w:val="00E75882"/>
    <w:rsid w:val="00FA587B"/>
    <w:rsid w:val="00FE2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E40A8C"/>
  <w15:docId w15:val="{7BE88295-FBEC-4C47-9C50-E9FDA8A20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481C21"/>
    <w:pPr>
      <w:widowControl w:val="0"/>
      <w:suppressAutoHyphens/>
      <w:spacing w:after="0" w:line="240" w:lineRule="auto"/>
    </w:pPr>
    <w:rPr>
      <w:rFonts w:ascii="Times New Roman" w:eastAsia="Andale Sans UI" w:hAnsi="Times New Roman" w:cs="Tahoma"/>
      <w:sz w:val="24"/>
      <w:szCs w:val="24"/>
      <w:lang w:val="en-US" w:bidi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81C21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481C21"/>
    <w:pPr>
      <w:spacing w:after="200"/>
    </w:pPr>
    <w:rPr>
      <w:i/>
      <w:iCs/>
      <w:color w:val="44546A" w:themeColor="text2"/>
      <w:sz w:val="18"/>
      <w:szCs w:val="18"/>
    </w:rPr>
  </w:style>
  <w:style w:type="paragraph" w:styleId="a5">
    <w:name w:val="Balloon Text"/>
    <w:basedOn w:val="a"/>
    <w:link w:val="a6"/>
    <w:uiPriority w:val="99"/>
    <w:semiHidden/>
    <w:unhideWhenUsed/>
    <w:rsid w:val="00FE2B26"/>
    <w:rPr>
      <w:rFonts w:ascii="Tahoma" w:hAnsi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FE2B26"/>
    <w:rPr>
      <w:rFonts w:ascii="Tahoma" w:eastAsia="Andale Sans UI" w:hAnsi="Tahoma" w:cs="Tahoma"/>
      <w:sz w:val="16"/>
      <w:szCs w:val="16"/>
      <w:lang w:val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22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0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78</Words>
  <Characters>447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Аркадий Мустафин</dc:creator>
  <cp:keywords/>
  <dc:description/>
  <cp:lastModifiedBy>Виктория Латыпова</cp:lastModifiedBy>
  <cp:revision>9</cp:revision>
  <dcterms:created xsi:type="dcterms:W3CDTF">2022-10-28T08:32:00Z</dcterms:created>
  <dcterms:modified xsi:type="dcterms:W3CDTF">2025-10-27T18:02:00Z</dcterms:modified>
</cp:coreProperties>
</file>