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38A30B30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>ФГБОУ ВО Уфимский университет</w:t>
      </w:r>
      <w:r w:rsidR="00BF2518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359DB6B0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9E168C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2DD9C69A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481C21" w:rsidRPr="001D16B5">
        <w:rPr>
          <w:rFonts w:cs="Times New Roman"/>
          <w:sz w:val="28"/>
          <w:szCs w:val="22"/>
          <w:lang w:val="ru-RU"/>
        </w:rPr>
        <w:t>Лабораторная работа №</w:t>
      </w:r>
      <w:r w:rsidR="00791CBD">
        <w:rPr>
          <w:rFonts w:cs="Times New Roman"/>
          <w:sz w:val="28"/>
          <w:szCs w:val="22"/>
          <w:lang w:val="ru-RU"/>
        </w:rPr>
        <w:t>2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43430A99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791CBD" w:rsidRPr="00A51508">
        <w:rPr>
          <w:sz w:val="28"/>
          <w:szCs w:val="28"/>
          <w:lang w:val="ru-RU"/>
        </w:rPr>
        <w:t>Функциональное моделирование предметной области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39729072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8"/>
        </w:rPr>
        <w:t>Мини-группа-1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>Выполнили: студенты гр. ПИ-209Бзу, ПИ-208Бзу</w:t>
      </w:r>
    </w:p>
    <w:p w14:paraId="343B6E8D" w14:textId="7B1C26F9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ascii="Times New Roman" w:hAnsi="Times New Roman"/>
          <w:sz w:val="24"/>
        </w:rPr>
        <w:t>Ардаширов Э.Ф.</w:t>
        <w:br/>
        <w:t>Байгускаров Т.Р.</w:t>
        <w:br/>
        <w:t>Баянов Д.Г.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Латыпова В.А.</w:t>
      </w:r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3F162F7C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ascii="Times New Roman" w:hAnsi="Times New Roman"/>
          <w:sz w:val="24"/>
        </w:rPr>
        <w:t>Уфа 2026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line="360" w:lineRule="auto" w:before="200" w:after="12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ЛАБОРАТОРНАЯ РАБОТА № 2</w:t>
        <w:br/>
        <w:t>«ФУНКЦИОНАЛЬНОЕ МОДЕЛИРОВАНИЕ ПРЕДМЕТНОЙ ОБЛАСТИ»</w:t>
        <w:br/>
        <w:t>Тема: «Функциональная модель розничной продажи товаров в продуктовом магазине в нотации IDEF0»</w:t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1 ЦЕЛЬ И ЗАДАЧИ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получение практических навыков функционального моделирования предметной области в нотации IDEF0, разработки контекстной диаграммы и диаграммы функциональной декомпозиции бизнес-процесса розничной продажи продовольственных товаров с обеспечением стопроцентной преемственности и согласованности потоков мнемосхемы.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>Задачи работы: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провести системный анализ предметной области «Продажа товаров в продуктовом магазине» на основе мнемосхемы, разработанной в рамках лабораторной работы № 1;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цель моделирования и точку зрения функциональной модели в нотации IDEF0;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разработать контекстную диаграмму А-0 («Выполнить розничную продажу товаров в магазине») с выделением внешних входов (Inputs), управлений (Controls), механизмов (Mechanisms) и выходов (Outputs);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построить диаграмму функциональной декомпозиции первого уровня А0, включающую пять взаимосвязанных функциональных блоков (А1–А5);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определить и специфицировать внутренние интерфейсные дуги между блоками декомпозиции, обратные связи и правила ветвления дуг управления и механизмов;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проверить и подтвердить строгое соблюдение баланса граничных интерфейсных дуг (ICOM) между контекстной диаграммой А-0 и диаграммой декомпозиции А0;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составить словарь терминов (Activity Dictionary) и словарь интерфейсных дуг (Arrow Dictionary) модели;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sz w:val="28"/>
        </w:rPr>
        <w:t>• сформулировать аналитические выводы по результатам функционального моделирования.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2 КРАТКИЕ ТЕОРЕТИЧЕСКИЕ СВЕДЕНИЯ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Методология функционального моделирования IDEF0 (Integration Definition for Function Modeling) представляет собой формализованную методологию графического описания систем и бизнес-процессов, основанную на концепции структурного анализа SADT (Structured Analysis and Design Technique), разработанной Дугласом Россом. Стандарт IDEF0 регламентирован отечественными рекомендациями по стандартизации Р 50.1.028-2001 и международным стандартом IEEE 1320.1. Модель IDEF0 предназначена для наглядного представления функций, выполняемых системой, а также информационных, материальных и финансовых потоков, связывающих эти функции между собой и с окружающей внешней средой.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Основными семантическими элементами нотации IDEF0 выступают функциональные блоки (Activity Boxes) и интерфейсные дуги (Arrows). Функциональный блок изображается в виде прямоугольника и олицетворяет собой конкретную функцию, работу, процедуру или процесс. В соответствии со стандартами нотации блок именуется активным глаголом в повелительном наклонении или глаголом в неопределенной форме (инфинитиве) с пояснительными словами (например, «Выполнить розничную продажу товаров в магазине», «Зарегистрировать товар на кассовом узле»). В правом нижнем углу каждого функционального блока обязательно проставляется номер узла (Node Number), определяющий его положение в иерархической структуре модели.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Интерфейсные дуги (стрелки) обозначают информацию, физические объекты, документы или ресурсы, необходимые для выполнения работы либо возникающие в результате ее завершения. В нотации IDEF0 действует строгое правило: стрелки именуются только именами существительными или субстантивными словосочетаниями (категорически запрещено применение отглагольных существительных, обозначающих действие). Значение интерфейсной дуги однозначно определяется стороной блока, к которой она примыкает (принцип ICOM):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Вход (Input) — левая грань блока: </w:t>
      </w:r>
      <w:r>
        <w:rPr>
          <w:rFonts w:ascii="Times New Roman" w:hAnsi="Times New Roman"/>
          <w:sz w:val="28"/>
        </w:rPr>
        <w:t>материальные предметы, сырье, продукция, запросы или исходные информационные данные, которые преобразуются или расходуются в процессе выполнения данной функции.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Управление (Control) — верхняя грань блока: </w:t>
      </w:r>
      <w:r>
        <w:rPr>
          <w:rFonts w:ascii="Times New Roman" w:hAnsi="Times New Roman"/>
          <w:sz w:val="28"/>
        </w:rPr>
        <w:t>законодательные акты, отраслевые стандарты, правила торговли, прейскуранты, регламенты, должностные инструкции и управляющие директивы, которыми руководствуется исполнитель при совершении работы.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Выход (Output) — правая грань блока: </w:t>
      </w:r>
      <w:r>
        <w:rPr>
          <w:rFonts w:ascii="Times New Roman" w:hAnsi="Times New Roman"/>
          <w:sz w:val="28"/>
        </w:rPr>
        <w:t>материальный, документальный или информационный результат выполнения работы (готовый упакованный товар, кассовый чек, сформированная выручка, актуализированная база данных).</w:t>
      </w:r>
    </w:p>
    <w:p>
      <w:pPr>
        <w:spacing w:line="360" w:lineRule="auto" w:before="0" w:after="8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Механизм (Mechanism) — нижняя грань блока: </w:t>
      </w:r>
      <w:r>
        <w:rPr>
          <w:rFonts w:ascii="Times New Roman" w:hAnsi="Times New Roman"/>
          <w:sz w:val="28"/>
        </w:rPr>
        <w:t>ресурсы, привлекаемые для выполнения функции: сотрудники и специалисты (кассир, товаровед), оборудование, аппаратные устройства (сканер, POS-терминал, пин-пад) и программные комплексы (1С:Предприятие).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Построение функциональной модели базируется на принципах иерархической декомпозиции. На вершине иерархии располагается единственная контекстная диаграмма с номером А-0, содержащая один обобщающий функциональный блок, определяющий границы всей системы в целом. На контекстной диаграмме обязательно фиксируются цель моделирования (Purpose) и точка зрения (Viewpoint), определяющая ракурс рассмотрения предметной области. Далее контекстный блок декомпозируется на диаграмме первого уровня А0 на совокупность от 3 до 9 подфункций, располагаемых по диагонали (доминированию) от верхнего левого угла к правому нижнему.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Фундаментальным законом корректности модели является правило синтаксической балансировки дуг (Arrow Balancing). Все граничные стрелки (входы, управления, механизмы, выходы), присоединенные к блоку на родительской диаграмме А-0, должны быть в полном составе и без искажений перенесены на дочернюю диаграмму декомпозиции А0. При этом стрелки могут разветвляться (Forking) для управления несколькими работами или объединяться (Joining) в общий поток. Также на диаграмме декомпозиции отображаются внутренние управляющие и материальные связи, включая обратные связи (Feedback loops), при которых выход последующей работы выступает управляющим или входным фактором для предыдущей.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3 МНЕМОСХЕМА ПРЕДМЕТНОЙ ОБЛАСТИ (ИЗ ЛАБОРАТОРНОЙ РАБОТЫ № 1)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методическими требованиями кафедры АСУ УУНиТ функциональное моделирование в нотации IDEF0 выполняется на основе единой сквозной предметной области — «Продажа товаров в продуктовом магазине», исследованной и формализованной в лабораторной работе № 1. Модель отражает очный формат розничной торговли продуктами питания в магазине самообслуживания.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структуре предметной области выделены три внутренних организационных подразделения предприятия «Магазин "Продукты"» и внешняя среда:</w:t>
        <w:br/>
        <w:t>1) Подразделение «Торговый зал»: покупатель (субъект), витрина и полки с товарами (объект);</w:t>
        <w:br/>
        <w:t>2) Подразделение «Кассовый узел»: кассир-продавец (субъект), сканер штрихкодов, POS-терминал с фискальным регистратором, банковский терминал/пин-пад (объекты);</w:t>
        <w:br/>
        <w:t>3) Подразделение «Бэк-офис и ИТ-инфраструктура»: товароучетная система (сервер базы данных «1С:Предприятие») (объект), администратор / товаровед магазина (субъект);</w:t>
        <w:br/>
        <w:t>4) Внешняя среда: процессинговый центр банка-эквайера (объект авторизации платежей).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Утвержденная мнемосхема бизнес-процесса представлена на рисунке 1. Схема включает 21 верифицированный поток взаимодействия, разделенный на устные диалоги, материальные предметы, бумажные документы и электронные пакеты данных, передаваемые исключительно через аппаратные интерфейсы.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5723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nemoscheme_sto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2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1 — Мнемосхема бизнес-процесса «Продажа товаров в продуктовом магазине»</w:t>
      </w:r>
    </w:p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4 РЕЗУЛЬТАТЫ ВЫПОЛНЕНИЯ РАБОТЫ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4.1 Цель моделирования и точка зрения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со стандартом IDEF0 функциональная модель не может быть построена без четкой формулировки цели и определения фиксированной точки зрения. Для модели процесса продажи продовольственных товаров установлены следующие параметры:</w:t>
        <w:br/>
        <w:t>• Цель моделирования (Purpose): описать функциональную структуру процесса розничной продажи продовольственных товаров для регламентации работы кассового персонала магазина и комплексной автоматизации складского и финансового товароучета;</w:t>
        <w:br/>
        <w:t>• Точка зрения (Viewpoint): директор магазина (ведущий товаровед);</w:t>
        <w:br/>
        <w:t>• Границы моделирования (Scope): процесс охватывает операции от момента входа покупателя в торговый зал и отбора продуктов до проведения расчета на кассовом узле, выдачи фискального чека и актуализации складских остатков в серверной базе данных 1С.</w:t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4.2 Контекстная диаграмма функциональной модели (А-0)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Контекстная диаграмма А-0 представляет бизнес-процесс в виде единого функционального блока «Выполнить розничную продажу товаров в магазине» (узел 0). Контекстная диаграмма отражает граничные связи системы с внешним окружением. Графическое представление контекстной диаграммы А-0 приведено на рисунке 2 (альбомная ориентация страницы).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5826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_minus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82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2 — Контекстная диаграмма А-0 «Выполнить розничную продажу товаров в магазине»</w:t>
      </w:r>
    </w:p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Полная спецификация интерфейсных дуг контекстной диаграммы А-0 по категориям стандарта ICOM представлена в таблице 1. В соответствии с правилами нотации все стрелки названы строго именами существительными, полностью исключены отглагольные существительные и отражено реальное материально-техническое взаимодействие.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1 — Стрелки контекстной диаграммы А-0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Метка</w:t>
            </w:r>
          </w:p>
        </w:tc>
        <w:tc>
          <w:tcPr>
            <w:tcW w:type="dxa" w:w="255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Имя стрелки (Arrow Name)</w:t>
            </w:r>
          </w:p>
        </w:tc>
        <w:tc>
          <w:tcPr>
            <w:tcW w:type="dxa" w:w="4819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Определение стрелки (Arrow Definition)</w:t>
            </w:r>
          </w:p>
        </w:tc>
        <w:tc>
          <w:tcPr>
            <w:tcW w:type="dxa" w:w="113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Тип дуги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I1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Продовольственные товары со склада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Продукты питания, поступившие со складской зоны и выложенные на витрины торгового зала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Input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(запрос на покупку)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с осознанной потребностью в приобретении необходимых товаров повседневного спроса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Input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I3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Платежные средства (наличные / карта)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Финансовые платежные средства покупателя (наличные денежные купюры либо банковская карта с модулем NFC)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Input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C1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Закон РФ «О защите прав потребителей»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Федеральный закон, регулирующий права граждан на получение качественных продуктов, достоверной информации и кассового чека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C2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торговли товарами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продажи отдельных видов продовольственных товаров, санитарные нормы и регламенты выкладки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C3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Прейскурант (ценники)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Официально утвержденный перечень розничных цен и наименований, размещенный на ценниках в торговом зале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C4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Инструкции кассира, кассовая дисциплина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Должностные регламенты кассира-продавца и правила соблюдения Федерального закона № 54-ФЗ о применении ККТ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C5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Регламент эквайринга банка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Технические и правовые стандарты банка-эквайера по проведению безналичных платежей и обработке транзакций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Control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M1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Кассир-продавец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Штатный работник кассового узла, осуществляющий регистрацию покупок и проведение расчетных операций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Сканер штрихкодов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Лазерное оптическое устройство кассы, преобразующее графический штрихкод в цифровой идентификатор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M3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POS-терминал с фискальным рег.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Кассовый аппаратно-программный комплекс с монитором и встроенным фискальным регистратором чеков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M4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терминал (пин-пад)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Автономное электронное устройство для приема бесконтактных карт и передачи запроса на эквайринг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M5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Товароучетная система (1С:Предприятие)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Центральный сервер баз данных предприятия, хранящий номенклатуру, цены и текущие складские остатки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M6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Администратор / Товаровед магазина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Должностное лицо магазина, контролирующее учет движения товаров и анализирующее отчетность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Mechanism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O1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Приобретенный товар у покупателя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Оплаченные продукты питания, сложенные в фирменный пакет и переданные клиенту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O2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Фискальный кассовый чек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Официальный бумажный документ фискального накопителя ККМ, подтверждающий факт купли-продажи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O3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слип-чек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Бумажный чек терминала эквайринга с кодом авторизации безналичной транзакции банка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O4</w:t>
            </w:r>
          </w:p>
        </w:tc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Кассовая выручка (в кассе / на счете)</w:t>
            </w:r>
          </w:p>
        </w:tc>
        <w:tc>
          <w:tcPr>
            <w:tcW w:type="dxa" w:w="4819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Денежные средства, поступившие в денежный ящик кассы или зачисленные на расчетный счет магазина</w:t>
            </w:r>
          </w:p>
        </w:tc>
        <w:tc>
          <w:tcPr>
            <w:tcW w:type="dxa" w:w="113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  <w:tr>
        <w:tc>
          <w:tcPr>
            <w:tcW w:type="dxa" w:w="85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O5</w:t>
            </w:r>
          </w:p>
        </w:tc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Отчет об остатках и продажах</w:t>
            </w:r>
          </w:p>
        </w:tc>
        <w:tc>
          <w:tcPr>
            <w:tcW w:type="dxa" w:w="4819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Электронный и печатный документ товароведа с актуальными данными по реализации и складским запасам</w:t>
            </w:r>
          </w:p>
        </w:tc>
        <w:tc>
          <w:tcPr>
            <w:tcW w:type="dxa" w:w="113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Output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4.3 Диаграмма функциональной декомпозиции (А0)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процессе функциональной декомпозиции обобщенный контекстный процесс А-0 был детализирован на пять взаимосвязанных функциональных блоков первого уровня (А1–А5), расположенных по диагонали доминирования:</w:t>
        <w:br/>
        <w:t>• А1: Отобрать товар в торговом зале;</w:t>
        <w:br/>
        <w:t>• А2: Зарегистрировать товар на кассовом узле;</w:t>
        <w:br/>
        <w:t>• А3: Принять оплату (провести расчет с покупателем);</w:t>
        <w:br/>
        <w:t>• А4: Сформировать и выдать фискальный чек;</w:t>
        <w:br/>
        <w:t>• А5: Актуализировать товарные остатки в учетной системе.</w:t>
        <w:br/>
        <w:t>Диаграмма декомпозиции А0 приведена на рисунке 3 (альбомный лист).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80000" cy="5723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723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80" w:after="120"/>
        <w:ind w:firstLine="0"/>
        <w:jc w:val="center"/>
      </w:pPr>
      <w:r>
        <w:rPr>
          <w:rFonts w:ascii="Times New Roman" w:hAnsi="Times New Roman"/>
          <w:b/>
          <w:sz w:val="24"/>
        </w:rPr>
        <w:t>Рисунок 3 — Диаграмма декомпозиции А0 «Выполнить розничную продажу товаров в магазине»</w:t>
      </w:r>
    </w:p>
    <w:p>
      <w:pPr>
        <w:sectPr>
          <w:pgSz w:w="16838" w:h="11906" w:orient="landscape"/>
          <w:pgMar w:top="850" w:right="850" w:bottom="850" w:left="1134" w:header="708" w:footer="708" w:gutter="0"/>
          <w:cols w:space="708"/>
          <w:docGrid w:linePitch="360"/>
        </w:sectPr>
      </w:pP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4.4 Спецификация функциональных блоков декомпозиции А0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Описание функциональных блоков диаграммы декомпозиции А0 представлено в таблице 2.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2 — Функциональные блоки диаграммы декомпозиции А0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18"/>
        <w:gridCol w:w="3118"/>
        <w:gridCol w:w="3118"/>
      </w:tblGrid>
      <w:tr>
        <w:tc>
          <w:tcPr>
            <w:tcW w:type="dxa" w:w="124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Номер узла</w:t>
            </w:r>
          </w:p>
        </w:tc>
        <w:tc>
          <w:tcPr>
            <w:tcW w:type="dxa" w:w="272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Имя работы (Activity Name)</w:t>
            </w:r>
          </w:p>
        </w:tc>
        <w:tc>
          <w:tcPr>
            <w:tcW w:type="dxa" w:w="538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Определение работы (Activity Definition)</w:t>
            </w:r>
          </w:p>
        </w:tc>
      </w:tr>
      <w:tr>
        <w:tc>
          <w:tcPr>
            <w:tcW w:type="dxa" w:w="124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А1</w:t>
            </w:r>
          </w:p>
        </w:tc>
        <w:tc>
          <w:tcPr>
            <w:tcW w:type="dxa" w:w="272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Отобрать товар в торговом зале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Выбор покупателем необходимых продуктов питания с полок и витрин магазина на основе информации ценников и перемещение отобранных товаров к кассовому узлу.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А2</w:t>
            </w:r>
          </w:p>
        </w:tc>
        <w:tc>
          <w:tcPr>
            <w:tcW w:type="dxa" w:w="272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Зарегистрировать товар на кассовом узле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Выкладка товара на транспортерную ленту, считывание штрихкодов лазерным сканером, получение актуальных цен из базы данных 1С и расчет промежуточного итога кассового чека.</w:t>
            </w:r>
          </w:p>
        </w:tc>
      </w:tr>
      <w:tr>
        <w:tc>
          <w:tcPr>
            <w:tcW w:type="dxa" w:w="124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А3</w:t>
            </w:r>
          </w:p>
        </w:tc>
        <w:tc>
          <w:tcPr>
            <w:tcW w:type="dxa" w:w="272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Принять оплату (провести расчет с покупателем)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Согласование суммы к оплате, выбор формы расчета (наличные/карта), списание средств с банковского счета через пин-пад и авторизацию банка либо прием банкнот и выдача сдачи.</w:t>
            </w:r>
          </w:p>
        </w:tc>
      </w:tr>
      <w:tr>
        <w:tc>
          <w:tcPr>
            <w:tcW w:type="dxa" w:w="124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А4</w:t>
            </w:r>
          </w:p>
        </w:tc>
        <w:tc>
          <w:tcPr>
            <w:tcW w:type="dxa" w:w="272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Сформировать и выдать фискальный чек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Передача команды фискальному регистратору на печать чека ККТ с реквизитами ФЗ № 54-ФЗ, упаковка покупок в пакет и передача чека и товаров покупателю.</w:t>
            </w:r>
          </w:p>
        </w:tc>
      </w:tr>
      <w:tr>
        <w:tc>
          <w:tcPr>
            <w:tcW w:type="dxa" w:w="124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А5</w:t>
            </w:r>
          </w:p>
        </w:tc>
        <w:tc>
          <w:tcPr>
            <w:tcW w:type="dxa" w:w="272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Актуализировать товарные остатки в учетной системе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Электронное списание проданных артикулов со складских остатков в серверной базе 1С, фиксация выручки и формирование аналитического отчета товароведом.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4.5 Спецификация интерфейсных дуг диаграммы декомпозиции А0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Интерфейсные дуги диаграммы декомпозиции А0 связывают функциональные блоки между собой и с внешними границами родительского блока А-0. В таблице 3 представлены все потоки модели с указанием источника (Source) и приемника (Destination), подтверждая отсутствие изолированных функциональных узлов.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3 — Интерфейсные дуги диаграммы декомпозиции А0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Метка</w:t>
            </w:r>
          </w:p>
        </w:tc>
        <w:tc>
          <w:tcPr>
            <w:tcW w:type="dxa" w:w="215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Имя интерфейсной дуги</w:t>
            </w:r>
          </w:p>
        </w:tc>
        <w:tc>
          <w:tcPr>
            <w:tcW w:type="dxa" w:w="204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Источник (Source)</w:t>
            </w:r>
          </w:p>
        </w:tc>
        <w:tc>
          <w:tcPr>
            <w:tcW w:type="dxa" w:w="204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Приемник (Destination)</w:t>
            </w:r>
          </w:p>
        </w:tc>
        <w:tc>
          <w:tcPr>
            <w:tcW w:type="dxa" w:w="2324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Назначение интерфейсной дуги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I1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Продовольственные товары со склада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вход (Склад)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Поступление физических продуктов питания для отбора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I2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(запрос на покупку)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вход (Среда)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Потребность клиента в покупке товаров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I3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Платежные средства (наличные / карта)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вход (Клиент)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Средства для осуществления финансового расчета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C1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Закон «О защите прав потребителей»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А1, А4 (Управление)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Правовые гарантии качества товара и предоставления чека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C2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торговли товарами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А1, А2 (Управление)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Санитарные и организационные требования к выкладке и продаже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C3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Прейскурант (ценники)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(Управление)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Информирование клиента о стоимости товаров на полках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C4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Инструкции кассира, кассовая дисциплина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А3, А4, А5 (Управление)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Регламент работы персонала и соблюдение правил применения ККТ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C5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Регламент эквайринга банка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Внешнее управление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(Управление)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Правила авторизации безналичных банковских транзакций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M1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Кассир-продавец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(Штат)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А3, А4 (Механизм)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Сотрудник, выполняющий операции сканирования, расчета и выдачи чека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M2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Сканер штрихкодов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(Оборудование)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(Механизм)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Устройство распознавания штрихкода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M3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POS-терминал с фискальным рег.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(Оборудование)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А3, А4 (Механизм)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Центральный вычислительный модуль кассы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M4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терминал (пин-пад)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(Оборудование)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(Механизм)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Устройство считывания банковских карт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M5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Товароучетная система (1С:Предприятие)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(ИТ)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Блоки А2, А5 (Механизм)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База данных цен, номенклатуры и складских остатков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M6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Администратор / Товаровед магазина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механизм (Штат)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(Механизм)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Специалист, курирующий списание остатков и отчетность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Отобранный товар на кассовой ленте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Физическое перемещение отобранных продуктов на кассовую ленту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у кассовой зоны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А1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Прибытие покупателя к зоне расчета кассира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Сумма к оплате (данные чека)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Электронный расчет итоговой стоимости покупки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Зарегистрированный товар к выдаче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Товары, прошедшие сканирование и готовые к упаковке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Подтверждение оплаты (статус транзакции)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(Вход)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Успешная фиксация внесения денег или одобрения банка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Внутр.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Данные о совершенной продаже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(Вход)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Электронный пакет данных об артикулах и количестве для списания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Обратн.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Сведения об остатках и ценах (1С)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А2 (Управление)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Петля обратной связи: актуальные цены и остатки из базы 1С в кассу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O1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Приобретенный товар у покупателя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(Клиент)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Готовая упакованная покупка на руках у покупателя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O2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Фискальный кассовый чек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А4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(Клиент)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Бумажный фискальный документ об оплате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O3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слип-чек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(Клиент)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Квитанция терминала об одобрении безналичной транзакции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O4</w:t>
            </w:r>
          </w:p>
        </w:tc>
        <w:tc>
          <w:tcPr>
            <w:tcW w:type="dxa" w:w="215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Кассовая выручка (в кассе / на счете)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А3 (Выход)</w:t>
            </w:r>
          </w:p>
        </w:tc>
        <w:tc>
          <w:tcPr>
            <w:tcW w:type="dxa" w:w="204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(Магазин)</w:t>
            </w:r>
          </w:p>
        </w:tc>
        <w:tc>
          <w:tcPr>
            <w:tcW w:type="dxa" w:w="232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Финансовый результат от продажи продуктов</w:t>
            </w:r>
          </w:p>
        </w:tc>
      </w:tr>
      <w:tr>
        <w:tc>
          <w:tcPr>
            <w:tcW w:type="dxa" w:w="79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O5</w:t>
            </w:r>
          </w:p>
        </w:tc>
        <w:tc>
          <w:tcPr>
            <w:tcW w:type="dxa" w:w="215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Отчет об остатках и продажах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Блок А5 (Выход)</w:t>
            </w:r>
          </w:p>
        </w:tc>
        <w:tc>
          <w:tcPr>
            <w:tcW w:type="dxa" w:w="204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Внешний выход (Товаровед)</w:t>
            </w:r>
          </w:p>
        </w:tc>
        <w:tc>
          <w:tcPr>
            <w:tcW w:type="dxa" w:w="232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Документ складского аудита и анализа товарооборота</w:t>
            </w:r>
          </w:p>
        </w:tc>
      </w:tr>
    </w:tbl>
    <w:p>
      <w:r>
        <w:br w:type="page"/>
      </w:r>
    </w:p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4.6 Глоссарий терминов модели (Dictionary)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соответствии с требованиями стандарта IDEF0 для устранения многозначности формулировок составлен глоссарий функциональной модели (таблица 4), включающий словарь работ (Activity Dictionary) и словарь интерфейсных дуг (Arrow Dictionary).</w:t>
      </w:r>
    </w:p>
    <w:p>
      <w:pPr>
        <w:spacing w:line="360" w:lineRule="auto" w:before="160" w:after="80"/>
        <w:ind w:firstLine="0"/>
        <w:jc w:val="left"/>
      </w:pPr>
      <w:r>
        <w:rPr>
          <w:rFonts w:ascii="Times New Roman" w:hAnsi="Times New Roman"/>
          <w:b/>
          <w:sz w:val="24"/>
        </w:rPr>
        <w:t>Таблица 4 — Глоссарий функциональной модели IDEF0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118"/>
        <w:gridCol w:w="3118"/>
        <w:gridCol w:w="3118"/>
      </w:tblGrid>
      <w:tr>
        <w:tc>
          <w:tcPr>
            <w:tcW w:type="dxa" w:w="2551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Термин модели</w:t>
            </w:r>
          </w:p>
        </w:tc>
        <w:tc>
          <w:tcPr>
            <w:tcW w:type="dxa" w:w="1417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Категория</w:t>
            </w:r>
          </w:p>
        </w:tc>
        <w:tc>
          <w:tcPr>
            <w:tcW w:type="dxa" w:w="538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F172A"/>
                <w:sz w:val="21"/>
              </w:rPr>
              <w:t>Толкование в контексте моделируемого бизнес-процесса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Выполнить розничную продажу товаров в магазине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0)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Корневой бизнес-процесс магазина самообслуживания по обслуживанию покупателя, расчету и выдаче чека.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Отобрать товар в торговом зале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1)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Действия покупателя по поиску нужных продовольственных позиций и перемещению их к расчетному узлу.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Зарегистрировать товар на кассовом узле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2)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Идентификация номенклатуры кассиром с помощью сканера и определение общей стоимости в кассовой программе.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Принять оплату (провести расчет с покупателем)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3)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Прием денежных средств покупателя либо списание безналичных средств банком-эквайером.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Сформировать и выдать фискальный чек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4)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Аппаратная фискализация чека в накопителе ККМ и вручение чека с товаром покупателю.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Актуализировать товарные остатки в учетной системе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Работа (узел 5)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Списание учетного количества товаров со склада в базе 1С и расчет аналитических показателей товароведом.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Продовольственные товары со склада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(I1)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Материальные продукты питания, находящиеся в розничном обороте магазина.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Покупатель (запрос на покупку)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(I2)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Физическое лицо, находящееся в магазине и инициирующее потребительский спрос.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Платежные средства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(I3)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Денежные знаки Банка России или авторизованные платежные карты банковских систем.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Фискальный кассовый чек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(O2)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Бумажный фискальный документ установленного образца с QR-кодом и фискальным признаком документа.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Банковский слип-чек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Стрелка (O3)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Квитанция терминала безналичной оплаты с кодом RRN, номером терминала и суммой списания.</w:t>
            </w:r>
          </w:p>
        </w:tc>
      </w:tr>
      <w:tr>
        <w:tc>
          <w:tcPr>
            <w:tcW w:type="dxa" w:w="2551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Товароучетная система (1С)</w:t>
            </w:r>
          </w:p>
        </w:tc>
        <w:tc>
          <w:tcPr>
            <w:tcW w:type="dxa" w:w="1417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Механизм (M5)</w:t>
            </w:r>
          </w:p>
        </w:tc>
        <w:tc>
          <w:tcPr>
            <w:tcW w:type="dxa" w:w="538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Программный комплекс «1С:Предприятие 8. Управление торговлей», автоматизирующий учет.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POS-терминал / ККМ</w:t>
            </w:r>
          </w:p>
        </w:tc>
        <w:tc>
          <w:tcPr>
            <w:tcW w:type="dxa" w:w="1417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color w:val="0F172A"/>
                <w:sz w:val="20"/>
              </w:rPr>
              <w:t>Механизм (M3)</w:t>
            </w:r>
          </w:p>
        </w:tc>
        <w:tc>
          <w:tcPr>
            <w:tcW w:type="dxa" w:w="538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Аппаратный комплекс кассы самообслуживания или рабочего места кассира с фискальным накопителем.</w:t>
            </w:r>
          </w:p>
        </w:tc>
      </w:tr>
    </w:tbl>
    <w:p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4.7 Анализ баланса интерфейсных дуг (Arrow Balancing)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Проверка синтаксической и семантической корректности разработанной модели подтверждает полное соблюдение правила балансировки граничных дуг:</w:t>
        <w:br/>
        <w:t>1. Входы (Inputs): стрелки I1 (Продовольственные товары), I2 (Покупатель) и I3 (Платежные средства) контекстной диаграммы в полном объеме перенесены на декомпозицию А0 (I1 и I2 входят в блок А1, I3 входит в блок А3);</w:t>
        <w:br/>
        <w:t>2. Управления (Controls): дуги C1–C5 контекстной диаграммы полностью сохранены на декомпозиции А0 с корректным ветвлением (C1 управляет А1 и А4; C2 управляет А1 и А2; C3 управляет А1; C4 управляет блоками А2, А3, А4, А5; C5 управляет А3);</w:t>
        <w:br/>
        <w:t>3. Механизмы (Mechanisms): дуги M1–M6 родительского блока А-0 на 100% представлены на диаграмме А0 (M1, M3 задействованы в блоках А2, А3, А4; M2 в блоке А2; M4 в блоке А3; M5 в блоках А2 и А5; M6 в блоке А5);</w:t>
        <w:br/>
        <w:t>4. Выходы (Outputs): все 5 выходов контекстной диаграммы (O1–O5) являются внешними выходами диаграммы декомпозиции (O1 и O2 выходят из А4; O3 и O4 выходят из А3; O5 выходит из А5);</w:t>
        <w:br/>
        <w:t>5. Внутренняя целостность: на диаграмме А0 отсутствуют изолированные блоки («черные дыры» или «генераторы данных»), каждый функциональный блок имеет как минимум один вход, одно управление, один механизм и один выход.</w:t>
      </w:r>
    </w:p>
    <w:p>
      <w:r>
        <w:br w:type="page"/>
      </w:r>
    </w:p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5 ВЫВОДЫ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В ходе выполнения лабораторной работы № 2 были успешно сформированы и закреплены практические навыки функционального моделирования предметной области с использованием международной методологии IDEF0 на примере сквозного процесса «Продажа товаров в продуктовом магазине».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Определены строгие методологические рамки процесса: установлена фиксированная точка зрения (директор магазина / ведущий товаровед) и цель моделирования, направленная на регламентацию кассового обслуживания и автоматизацию учета движения товарных запасов.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Разработана контекстная диаграмма А-0 «Выполнить розничную продажу товаров в магазине», определяющая границы системы и ее внешнее окружение (покупатели, банк-эквайер, законодательство РФ, нормативно-справочная документация).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Построена диаграмма функциональной декомпозиции первого уровня А0, содержащая 5 взаимосвязанных блоков (А1: Отобрать товар в торговом зале; А2: Зарегистрировать товар на кассовом узле; А3: Принять оплату; А4: Сформировать и выдать фискальный чек; А5: Актуализировать товарные остатки в учетной системе).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Обеспечена стопроцентная преемственность данных с результатами лабораторной работы № 1: все субъекты, материальные предметы, документы и электронные пакеты мнемосхемы без потерь трансформированы в соответствующие категории стандарта ICOM.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Строго соблюдены специальные требования и регламентные табу кафедры АСУ УУНиТ: в наименованиях интерфейсных дуг категорически исключены отглагольные существительные, электронный обмен физических лиц организован исключительно через аппаратных посредников (сканер, POS-терминал, пин-пад, сервер 1С), блоки названы активными глаголами, а модель отражает очный формат непосредственного взаимодействия покупателя в торговом зале.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Достигнута полная синтаксическая сбалансированность модели: число и состав граничных дуг (I1–I3, C1–C5, M1–M6, O1–O5) на контекстной диаграмме и диаграмме декомпозиции строго эквивалентны, отражена обратная связь по управлению (А5 -&gt; А2), составлены исчерпывающие словари работ и дуг.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/>
          <w:sz w:val="28"/>
        </w:rPr>
        <w:t>• Созданная функциональная модель IDEF0 формирует строгую концептуальную основу для последующего динамического имитационного моделирования бизнес-процесса в нотации BPMN в среде Bizagi Modeler в рамках практических работ № 1–3.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733A1"/>
    <w:rsid w:val="00245233"/>
    <w:rsid w:val="0027063A"/>
    <w:rsid w:val="003B6758"/>
    <w:rsid w:val="00403C27"/>
    <w:rsid w:val="00481C21"/>
    <w:rsid w:val="00502862"/>
    <w:rsid w:val="0050395D"/>
    <w:rsid w:val="00791CBD"/>
    <w:rsid w:val="007A46DE"/>
    <w:rsid w:val="00904ECD"/>
    <w:rsid w:val="009B57B5"/>
    <w:rsid w:val="009E168C"/>
    <w:rsid w:val="00A36B75"/>
    <w:rsid w:val="00A51508"/>
    <w:rsid w:val="00AA423E"/>
    <w:rsid w:val="00B551DC"/>
    <w:rsid w:val="00BA3BF9"/>
    <w:rsid w:val="00BF2518"/>
    <w:rsid w:val="00C46DB1"/>
    <w:rsid w:val="00CA2D54"/>
    <w:rsid w:val="00CB4290"/>
    <w:rsid w:val="00CE4BF7"/>
    <w:rsid w:val="00D00B34"/>
    <w:rsid w:val="00D07D50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9</cp:revision>
  <dcterms:created xsi:type="dcterms:W3CDTF">2022-10-28T08:32:00Z</dcterms:created>
  <dcterms:modified xsi:type="dcterms:W3CDTF">2025-10-24T14:24:00Z</dcterms:modified>
</cp:coreProperties>
</file>