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24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XX产品用户研究分析结论</w:t>
      </w:r>
    </w:p>
    <w:p>
      <w:pPr>
        <w:spacing w:line="276" w:lineRule="auto" w:before="0" w:after="120"/>
        <w:jc w:val="center"/>
      </w:pPr>
      <w:r>
        <w:rPr>
          <w:rFonts w:ascii="微软雅黑" w:hAnsi="微软雅黑" w:eastAsia="微软雅黑"/>
          <w:color w:val="595959"/>
          <w:sz w:val="18"/>
        </w:rPr>
        <w:t>生成日期：2026-08-04 ｜ 方案A：客群主轴式</w:t>
      </w:r>
    </w:p>
    <w:p/>
    <w:p>
      <w:pPr>
        <w:pStyle w:val="Heading1"/>
        <w:spacing w:line="276" w:lineRule="auto" w:before="240" w:after="120"/>
      </w:pPr>
      <w:r>
        <w:rPr>
          <w:rFonts w:ascii="微软雅黑" w:hAnsi="微软雅黑" w:eastAsia="微软雅黑"/>
          <w:color w:val="1F4E79"/>
          <w:sz w:val="32"/>
        </w:rPr>
        <w:t>一、研究概述</w:t>
      </w:r>
    </w:p>
    <w:p>
      <w:pPr>
        <w:pStyle w:val="Heading2"/>
        <w:spacing w:line="276" w:lineRule="auto" w:before="200" w:after="80"/>
      </w:pPr>
      <w:r>
        <w:rPr>
          <w:rFonts w:ascii="微软雅黑" w:hAnsi="微软雅黑" w:eastAsia="微软雅黑"/>
          <w:color w:val="1F4E79"/>
          <w:sz w:val="28"/>
        </w:rPr>
        <w:t>1.1 研究背景与目标</w:t>
      </w:r>
    </w:p>
    <w:p>
      <w:pPr>
        <w:spacing w:line="276" w:lineRule="auto" w:before="0" w:after="120"/>
        <w:ind w:firstLineChars="200" w:firstLine="440"/>
      </w:pPr>
      <w:r>
        <w:rPr>
          <w:rFonts w:ascii="微软雅黑" w:hAnsi="微软雅黑" w:eastAsia="微软雅黑"/>
          <w:b w:val="0"/>
          <w:sz w:val="22"/>
        </w:rPr>
        <w:t>为了解 XX 功能的体验表现，本研究采用混合方法设计。数据来源：问卷 N=156、访谈 N=12、埋点 2026-01~02（多源，结论按证据强度标注）。</w:t>
      </w:r>
    </w:p>
    <w:p>
      <w:pPr>
        <w:spacing w:line="276" w:lineRule="auto" w:before="0" w:after="60"/>
        <w:ind w:left="420" w:hanging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量化满意度与 NPS</w:t>
      </w:r>
    </w:p>
    <w:p>
      <w:pPr>
        <w:spacing w:line="276" w:lineRule="auto" w:before="0" w:after="60"/>
        <w:ind w:left="420" w:hanging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挖掘使用中的深层痛点</w:t>
      </w:r>
    </w:p>
    <w:p>
      <w:pPr>
        <w:pStyle w:val="Heading2"/>
        <w:spacing w:line="276" w:lineRule="auto" w:before="200" w:after="80"/>
      </w:pPr>
      <w:r>
        <w:rPr>
          <w:rFonts w:ascii="微软雅黑" w:hAnsi="微软雅黑" w:eastAsia="微软雅黑"/>
          <w:color w:val="1F4E79"/>
          <w:sz w:val="28"/>
        </w:rPr>
        <w:t>2.1 注册流程门槛较高</w:t>
      </w:r>
    </w:p>
    <w:p>
      <w:pPr>
        <w:spacing w:line="276" w:lineRule="auto" w:before="0" w:after="120"/>
        <w:ind w:firstLineChars="200" w:firstLine="440"/>
      </w:pPr>
      <w:r>
        <w:rPr>
          <w:rFonts w:ascii="微软雅黑" w:hAnsi="微软雅黑" w:eastAsia="微软雅黑"/>
          <w:b/>
          <w:sz w:val="22"/>
        </w:rPr>
        <w:t>注册流程是当前满意度最低、流失最高的关键环节，建议优先优化。</w:t>
      </w:r>
    </w:p>
    <w:p>
      <w:pPr>
        <w:spacing w:line="276" w:lineRule="auto" w:before="0" w:after="60"/>
        <w:ind w:left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该功能满意度均值 2.8/5，显著低于登录（3.5/5）与转账（3.9/5）（问卷 N=156）</w:t>
      </w:r>
    </w:p>
    <w:p>
      <w:pPr>
        <w:spacing w:line="276" w:lineRule="auto" w:before="0" w:after="60"/>
        <w:ind w:left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注册至首次转账的转化率仅 52%，漏斗首步流失最大（埋点 2026-01~02）</w:t>
      </w:r>
    </w:p>
    <w:p>
      <w:pPr>
        <w:spacing w:line="276" w:lineRule="auto" w:before="0" w:after="60"/>
        <w:ind w:left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"注册要填的信息太多，好几次想放弃"（受访者 P03）</w:t>
      </w:r>
    </w:p>
    <w:p>
      <w:pPr>
        <w:spacing w:line="276" w:lineRule="auto" w:before="0" w:after="120"/>
        <w:ind w:firstLineChars="200" w:firstLine="440"/>
      </w:pPr>
      <w:r>
        <w:rPr>
          <w:rFonts w:ascii="微软雅黑" w:hAnsi="微软雅黑" w:eastAsia="微软雅黑"/>
          <w:b w:val="0"/>
          <w:sz w:val="22"/>
        </w:rPr>
        <w:t>结论可信度：高（问卷 + 埋点 + 访谈多源收敛）；本研究认为，高流失主要源于信息采集门槛，而非功能故障。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5080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508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="276" w:lineRule="auto" w:before="160" w:after="80"/>
      </w:pPr>
      <w:r>
        <w:rPr>
          <w:rFonts w:ascii="微软雅黑" w:hAnsi="微软雅黑" w:eastAsia="微软雅黑"/>
          <w:color w:val="1F4E79"/>
          <w:sz w:val="24"/>
        </w:rPr>
        <w:t>参与者概况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b/>
                <w:sz w:val="22"/>
              </w:rPr>
              <w:t>维度</w:t>
            </w:r>
          </w:p>
        </w:tc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b/>
                <w:sz w:val="22"/>
              </w:rPr>
              <w:t>人数</w:t>
            </w:r>
          </w:p>
        </w:tc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b/>
                <w:sz w:val="22"/>
              </w:rPr>
              <w:t>占比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sz w:val="22"/>
              </w:rPr>
              <w:t>男</w:t>
            </w:r>
          </w:p>
        </w:tc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sz w:val="22"/>
              </w:rPr>
              <w:t>80</w:t>
            </w:r>
          </w:p>
        </w:tc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sz w:val="22"/>
              </w:rPr>
              <w:t>51%</w:t>
            </w:r>
          </w:p>
        </w:tc>
      </w:tr>
      <w:tr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sz w:val="22"/>
              </w:rPr>
              <w:t>女</w:t>
            </w:r>
          </w:p>
        </w:tc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sz w:val="22"/>
              </w:rPr>
              <w:t>76</w:t>
            </w:r>
          </w:p>
        </w:tc>
        <w:tc>
          <w:tcPr>
            <w:tcW w:type="dxa" w:w="2880"/>
          </w:tcPr>
          <w:p>
            <w:pPr>
              <w:spacing w:line="276" w:lineRule="auto" w:after="0"/>
            </w:pPr>
            <w:r>
              <w:rPr>
                <w:rFonts w:ascii="微软雅黑" w:hAnsi="微软雅黑" w:eastAsia="微软雅黑"/>
                <w:sz w:val="22"/>
              </w:rPr>
              <w:t>49%</w:t>
            </w:r>
          </w:p>
        </w:tc>
      </w:tr>
    </w:tbl>
    <w:p>
      <w:pPr>
        <w:pStyle w:val="Heading1"/>
        <w:spacing w:line="276" w:lineRule="auto" w:before="240" w:after="120"/>
      </w:pPr>
      <w:r>
        <w:rPr>
          <w:rFonts w:ascii="微软雅黑" w:hAnsi="微软雅黑" w:eastAsia="微软雅黑"/>
          <w:color w:val="1F4E79"/>
          <w:sz w:val="32"/>
        </w:rPr>
        <w:t>四、行动建议</w:t>
      </w:r>
    </w:p>
    <w:p>
      <w:pPr>
        <w:spacing w:line="276" w:lineRule="auto" w:before="0" w:after="60"/>
        <w:ind w:left="420" w:hanging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【高优先级】精简注册表单字段至必填 3 项，预期可提升注册完成率约 15%（支撑：注册流失主要集中在信息填写步骤）</w:t>
      </w:r>
    </w:p>
    <w:p>
      <w:pPr>
        <w:spacing w:line="276" w:lineRule="auto" w:before="0" w:after="60"/>
        <w:ind w:left="420" w:hanging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【中优先级】增加注册进度提示与中途保存，降低用户放弃成本（支撑：访谈 P03/P05 提及）</w:t>
      </w:r>
    </w:p>
    <w:p>
      <w:pPr>
        <w:spacing w:line="276" w:lineRule="auto" w:before="0" w:after="60"/>
        <w:ind w:left="420" w:hanging="420"/>
      </w:pPr>
      <w:r>
        <w:rPr>
          <w:rFonts w:ascii="微软雅黑" w:hAnsi="微软雅黑" w:eastAsia="微软雅黑"/>
          <w:sz w:val="22"/>
        </w:rPr>
        <w:t xml:space="preserve">• </w:t>
      </w:r>
      <w:r>
        <w:rPr>
          <w:rFonts w:ascii="微软雅黑" w:hAnsi="微软雅黑" w:eastAsia="微软雅黑"/>
          <w:sz w:val="22"/>
        </w:rPr>
        <w:t>【待验证】向新用户推送“一键登录”入口，可用 A/B 测试验证（证据不足，需补实验数据）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76" w:lineRule="auto" w:before="0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 w:line="276" w:lineRule="auto"/>
    </w:pPr>
    <w:rPr>
      <w:rFonts w:asciiTheme="majorHAnsi" w:eastAsiaTheme="majorEastAsia" w:hAnsiTheme="majorHAnsi" w:cstheme="majorBidi" w:ascii="微软雅黑" w:hAnsi="微软雅黑" w:eastAsia="微软雅黑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40"/>
    </w:pPr>
    <w:rPr>
      <w:rFonts w:ascii="微软雅黑" w:hAnsi="微软雅黑" w:eastAsia="微软雅黑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