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体验评测报告</w:t>
      </w:r>
    </w:p>
    <w:p>
      <w:pPr>
        <w:jc w:val="center"/>
      </w:pPr>
      <w:r>
        <w:rPr>
          <w:color w:val="5C6266"/>
          <w:sz w:val="18"/>
        </w:rPr>
        <w:t>评测范围：{{ scope }}　·　有效样本：{{ sample_size }} 份</w:t>
      </w:r>
    </w:p>
    <w:p>
      <w:pPr>
        <w:pStyle w:val="Heading1"/>
      </w:pPr>
      <w:r>
        <w:t>一、核心指标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t>指标</w:t>
            </w:r>
          </w:p>
        </w:tc>
        <w:tc>
          <w:tcPr>
            <w:tcW w:type="dxa" w:w="4759"/>
          </w:tcPr>
          <w:p>
            <w:r>
              <w:t>数值</w:t>
            </w:r>
          </w:p>
        </w:tc>
      </w:tr>
      <w:tr>
        <w:tc>
          <w:tcPr>
            <w:tcW w:type="dxa" w:w="4759"/>
          </w:tcPr>
          <w:p>
            <w:r>
              <w:t>净推荐值 NPS</w:t>
            </w:r>
          </w:p>
        </w:tc>
        <w:tc>
          <w:tcPr>
            <w:tcW w:type="dxa" w:w="4759"/>
          </w:tcPr>
          <w:p>
            <w:r>
              <w:t>{{ nps }}</w:t>
            </w:r>
          </w:p>
        </w:tc>
      </w:tr>
      <w:tr>
        <w:tc>
          <w:tcPr>
            <w:tcW w:type="dxa" w:w="4759"/>
          </w:tcPr>
          <w:p>
            <w:r>
              <w:t>满意度 CSAT</w:t>
            </w:r>
          </w:p>
        </w:tc>
        <w:tc>
          <w:tcPr>
            <w:tcW w:type="dxa" w:w="4759"/>
          </w:tcPr>
          <w:p>
            <w:r>
              <w:t>{{ csat_pct }}%</w:t>
            </w:r>
          </w:p>
        </w:tc>
      </w:tr>
      <w:tr>
        <w:tc>
          <w:tcPr>
            <w:tcW w:type="dxa" w:w="4759"/>
          </w:tcPr>
          <w:p>
            <w:r>
              <w:t>任务完成率</w:t>
            </w:r>
          </w:p>
        </w:tc>
        <w:tc>
          <w:tcPr>
            <w:tcW w:type="dxa" w:w="4759"/>
          </w:tcPr>
          <w:p>
            <w:r>
              <w:t>{{ task_success_pct }}%</w:t>
            </w:r>
          </w:p>
        </w:tc>
      </w:tr>
    </w:tbl>
    <w:p>
      <w:pPr>
        <w:pStyle w:val="Heading1"/>
      </w:pPr>
      <w:r>
        <w:t>二、分组表现</w:t>
      </w:r>
    </w:p>
    <w:p>
      <w:r>
        <w:t>{{ chart }}</w:t>
      </w:r>
    </w:p>
    <w:p>
      <w:r>
        <w:t>{% for row in by_scope %}{{ row.name }}：NPS {{ row.nps }}</w:t>
        <w:br/>
        <w:t>{% endfor %}</w:t>
      </w:r>
    </w:p>
    <w:p>
      <w:pPr>
        <w:pStyle w:val="Heading1"/>
      </w:pPr>
      <w:r>
        <w:t>三、总体结论</w:t>
      </w:r>
    </w:p>
    <w:p>
      <w:r>
        <w:t>{{ summary }}</w:t>
      </w:r>
    </w:p>
    <w:p>
      <w:pPr>
        <w:pStyle w:val="Heading1"/>
      </w:pPr>
      <w:r>
        <w:t>四、主要发现</w:t>
      </w:r>
    </w:p>
    <w:p>
      <w:r>
        <w:t>{% for f in findings %}{{ loop.index }}. {{ f }}</w:t>
        <w:br/>
        <w:t>{% endfor %}</w:t>
      </w:r>
    </w:p>
    <w:p>
      <w:pPr>
        <w:pStyle w:val="Heading1"/>
      </w:pPr>
      <w:r>
        <w:t>五、改进建议</w:t>
      </w:r>
    </w:p>
    <w:p>
      <w:r>
        <w:t>{% for r in recommendations %}{{ loop.index }}. {{ r }}</w:t>
        <w:br/>
        <w:t>{% endfor %}</w:t>
      </w:r>
    </w:p>
    <w:p>
      <w:r>
        <w:rPr>
          <w:color w:val="5C6266"/>
          <w:sz w:val="16"/>
        </w:rPr>
        <w:t>本报告全部数值由 Bench 平台的 Python 计算步骤产出并通过校验，数据源：{{ file }}（共 {{ total_rows }} 行）。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SC" w:hAnsi="Noto Sans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