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532D"/>
          <w:sz w:val="44"/>
          <w:szCs w:val="44"/>
          <w:rFonts w:ascii="Calibri" w:cs="Calibri" w:eastAsia="Calibri" w:hAnsi="Calibri"/>
        </w:rPr>
        <w:t xml:space="preserve">Database Design</w:t>
      </w:r>
    </w:p>
    <w:p>
      <w:pPr>
        <w:pBdr>
          <w:bottom w:val="single" w:color="16A34A" w:sz="12" w:space="6"/>
        </w:pBdr>
        <w:spacing w:after="260"/>
      </w:pPr>
      <w:r>
        <w:rPr>
          <w:i/>
          <w:iCs/>
          <w:color w:val="51625A"/>
          <w:sz w:val="22"/>
          <w:szCs w:val="22"/>
          <w:rFonts w:ascii="Calibri" w:cs="Calibri" w:eastAsia="Calibri" w:hAnsi="Calibri"/>
        </w:rPr>
        <w:t xml:space="preserve">BID CROP — AI Crop Disease Detection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1.  Overview</w:t>
      </w:r>
    </w:p>
    <w:p>
      <w:pPr>
        <w:spacing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BID CROP records every diagnosis it performs so that users can review a history of past scans and view simple statistics (total scans, diseased vs. healthy leaves, and the most frequently detected disease). This persistence is provided by a small relational database.</w:t>
      </w:r>
    </w:p>
    <w:p>
      <w:pPr>
        <w:spacing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The database is deliberately lightweight: the application's core function is a single request–response flow (upload a leaf photo, then receive an AI diagnosis), so the data model only needs to capture the outcome of each scan. A single well-defined table is therefore sufficient.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2.  Choice of Database Management System (DBMS)</w:t>
      </w:r>
    </w:p>
    <w:p>
      <w:pPr>
        <w:spacing w:after="120" w:line="276"/>
        <w:jc w:val="both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SQLite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was chosen for the implementation, for the following reasons:</w:t>
      </w:r>
    </w:p>
    <w:tbl>
      <w:tblPr>
        <w:tblW w:type="dxa" w:w="9360"/>
        <w:tblBorders>
          <w:top w:val="single" w:color="CFD8D2" w:sz="4"/>
          <w:left w:val="single" w:color="CFD8D2" w:sz="4"/>
          <w:bottom w:val="single" w:color="CFD8D2" w:sz="4"/>
          <w:right w:val="single" w:color="CFD8D2" w:sz="4"/>
          <w:insideH w:val="single" w:color="CFD8D2" w:sz="4"/>
          <w:insideV w:val="single" w:color="CFD8D2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CFCE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  <w:rFonts w:ascii="Calibri" w:cs="Calibri" w:eastAsia="Calibri" w:hAnsi="Calibri"/>
              </w:rPr>
              <w:t xml:space="preserve">Requirement</w:t>
            </w:r>
          </w:p>
        </w:tc>
        <w:tc>
          <w:tcPr>
            <w:tcW w:type="dxa" w:w="6560"/>
            <w:shd w:fill="DCFCE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  <w:rFonts w:ascii="Calibri" w:cs="Calibri" w:eastAsia="Calibri" w:hAnsi="Calibri"/>
              </w:rPr>
              <w:t xml:space="preserve">How SQLite meets it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Zero configuration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Serverless — the entire database is one file (scans.db); nothing to install or administer.</w:t>
            </w:r>
          </w:p>
        </w:tc>
      </w:tr>
      <w:tr>
        <w:tc>
          <w:tcPr>
            <w:tcW w:type="dxa" w:w="28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Portability</w:t>
            </w:r>
          </w:p>
        </w:tc>
        <w:tc>
          <w:tcPr>
            <w:tcW w:type="dxa" w:w="656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database file travels with the project, making it easy to demonstrate and back up.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 library support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Accessed through Python's built-in sqlite3 module, so no extra dependency is added to the project.</w:t>
            </w:r>
          </w:p>
        </w:tc>
      </w:tr>
      <w:tr>
        <w:tc>
          <w:tcPr>
            <w:tcW w:type="dxa" w:w="28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Sufficient scale</w:t>
            </w:r>
          </w:p>
        </w:tc>
        <w:tc>
          <w:tcPr>
            <w:tcW w:type="dxa" w:w="656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workload is low-volume (one row per scan); SQLite comfortably handles this.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SQL compliance</w:t>
            </w:r>
          </w:p>
        </w:tc>
        <w:tc>
          <w:tcPr>
            <w:tcW w:type="dxa" w:w="6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Uses standard SQL, so the same schema can be migrated to a client–server DBMS later.</w:t>
            </w:r>
          </w:p>
        </w:tc>
      </w:tr>
    </w:tbl>
    <w:p>
      <w:pPr>
        <w:spacing w:before="140"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For a production deployment serving many concurrent users, the same schema could be migrated to a client–server DBMS such as </w:t>
      </w: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PostgreSQL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with only minor changes (data types and the connection layer). The logical design below is independent of the engine used.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3.  Conceptual Design (Entity–Relationship Model)</w:t>
      </w:r>
    </w:p>
    <w:p>
      <w:pPr>
        <w:spacing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The system has one core entity: </w:t>
      </w: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Scan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— a single diagnosis performed on an uploaded leaf image. Its attributes are: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id (primary key)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image_filename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status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crop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disease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healthy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confidence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severity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summary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treatment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symptoms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prevention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model_used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created_at</w:t>
      </w:r>
    </w:p>
    <w:p>
      <w:pPr>
        <w:spacing w:before="120"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Because the current system does not implement user accounts, every scan is an independent record and there are no inter-entity relationships. The design can be extended in future (see Section 8) to introduce a </w:t>
      </w: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User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entity, giving a one-to-many relationship: one user performs many scans.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4.  Logical Design (Relational Schema)</w:t>
      </w:r>
    </w:p>
    <w:p>
      <w:pPr>
        <w:spacing w:after="120" w:line="276"/>
        <w:jc w:val="both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Relation:  </w:t>
      </w:r>
      <w:r>
        <w:rPr>
          <w:color w:val="1A1A1A"/>
          <w:sz w:val="20"/>
          <w:szCs w:val="20"/>
          <w:rFonts w:ascii="Consolas" w:cs="Consolas" w:eastAsia="Consolas" w:hAnsi="Consolas"/>
        </w:rPr>
        <w:t xml:space="preserve">scans (id, image_filename, status, crop, disease, healthy, confidence, severity, summary, treatment, symptoms, prevention, model_used, created_at)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Primary key: </w:t>
      </w:r>
      <w:r>
        <w:rPr>
          <w:color w:val="1A1A1A"/>
          <w:sz w:val="20"/>
          <w:szCs w:val="20"/>
          <w:rFonts w:ascii="Consolas" w:cs="Consolas" w:eastAsia="Consolas" w:hAnsi="Consolas"/>
        </w:rPr>
        <w:t xml:space="preserve">id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Functional dependency: </w:t>
      </w:r>
      <w:r>
        <w:rPr>
          <w:color w:val="1A1A1A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determines all other attributes</w:t>
      </w:r>
    </w:p>
    <w:p>
      <w:pPr>
        <w:spacing w:before="120"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The relation is in </w:t>
      </w: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Third Normal Form (3NF)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: id is the sole candidate key, every non-key attribute depends on the whole key, and there are no transitive dependencies between non-key attributes (each attribute describes an independent property of the same scan event).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5.  Data Dictionary</w:t>
      </w:r>
    </w:p>
    <w:tbl>
      <w:tblPr>
        <w:tblW w:type="dxa" w:w="9360"/>
        <w:tblBorders>
          <w:top w:val="single" w:color="CFD8D2" w:sz="4"/>
          <w:left w:val="single" w:color="CFD8D2" w:sz="4"/>
          <w:bottom w:val="single" w:color="CFD8D2" w:sz="4"/>
          <w:right w:val="single" w:color="CFD8D2" w:sz="4"/>
          <w:insideH w:val="single" w:color="CFD8D2" w:sz="4"/>
          <w:insideV w:val="single" w:color="CFD8D2" w:sz="4"/>
        </w:tblBorders>
      </w:tblPr>
      <w:tblGrid>
        <w:gridCol w:w="2000"/>
        <w:gridCol w:w="1350"/>
        <w:gridCol w:w="1900"/>
        <w:gridCol w:w="4110"/>
      </w:tblGrid>
      <w:tr>
        <w:trPr>
          <w:tblHeader/>
        </w:trPr>
        <w:tc>
          <w:tcPr>
            <w:tcW w:type="dxa" w:w="2000"/>
            <w:shd w:fill="DCFCE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  <w:rFonts w:ascii="Calibri" w:cs="Calibri" w:eastAsia="Calibri" w:hAnsi="Calibri"/>
              </w:rPr>
              <w:t xml:space="preserve">Attribute</w:t>
            </w:r>
          </w:p>
        </w:tc>
        <w:tc>
          <w:tcPr>
            <w:tcW w:type="dxa" w:w="1350"/>
            <w:shd w:fill="DCFCE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  <w:rFonts w:ascii="Calibri" w:cs="Calibri" w:eastAsia="Calibri" w:hAnsi="Calibri"/>
              </w:rPr>
              <w:t xml:space="preserve">Data type</w:t>
            </w:r>
          </w:p>
        </w:tc>
        <w:tc>
          <w:tcPr>
            <w:tcW w:type="dxa" w:w="1900"/>
            <w:shd w:fill="DCFCE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  <w:rFonts w:ascii="Calibri" w:cs="Calibri" w:eastAsia="Calibri" w:hAnsi="Calibri"/>
              </w:rPr>
              <w:t xml:space="preserve">Constraints</w:t>
            </w:r>
          </w:p>
        </w:tc>
        <w:tc>
          <w:tcPr>
            <w:tcW w:type="dxa" w:w="4110"/>
            <w:shd w:fill="DCFCE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INTEGER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PK, AUTOINCREMENT</w:t>
            </w:r>
          </w:p>
        </w:tc>
        <w:tc>
          <w:tcPr>
            <w:tcW w:type="dxa" w:w="41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Unique identifier for each scan.</w:t>
            </w:r>
          </w:p>
        </w:tc>
      </w:tr>
      <w:tr>
        <w:tc>
          <w:tcPr>
            <w:tcW w:type="dxa" w:w="20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image_filename</w:t>
            </w:r>
          </w:p>
        </w:tc>
        <w:tc>
          <w:tcPr>
            <w:tcW w:type="dxa" w:w="135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NOT NULL</w:t>
            </w:r>
          </w:p>
        </w:tc>
        <w:tc>
          <w:tcPr>
            <w:tcW w:type="dxa" w:w="411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Name of the uploaded image file, stored in static/shots/.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NOT NULL</w:t>
            </w:r>
          </w:p>
        </w:tc>
        <w:tc>
          <w:tcPr>
            <w:tcW w:type="dxa" w:w="41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Outcome: ok (a diagnosis) or not_leaf (image rejected as not a leaf).</w:t>
            </w:r>
          </w:p>
        </w:tc>
      </w:tr>
      <w:tr>
        <w:tc>
          <w:tcPr>
            <w:tcW w:type="dxa" w:w="20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crop</w:t>
            </w:r>
          </w:p>
        </w:tc>
        <w:tc>
          <w:tcPr>
            <w:tcW w:type="dxa" w:w="135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Identified crop/plant (e.g. Tomato, Maize).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disease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Identified disease, or Healthy.</w:t>
            </w:r>
          </w:p>
        </w:tc>
      </w:tr>
      <w:tr>
        <w:tc>
          <w:tcPr>
            <w:tcW w:type="dxa" w:w="20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healthy</w:t>
            </w:r>
          </w:p>
        </w:tc>
        <w:tc>
          <w:tcPr>
            <w:tcW w:type="dxa" w:w="135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INTEGER</w:t>
            </w:r>
          </w:p>
        </w:tc>
        <w:tc>
          <w:tcPr>
            <w:tcW w:type="dxa" w:w="19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0 or 1</w:t>
            </w:r>
          </w:p>
        </w:tc>
        <w:tc>
          <w:tcPr>
            <w:tcW w:type="dxa" w:w="411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Boolean flag: 1 if the leaf is healthy, 0 otherwise.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confidence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INTEGER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0–100</w:t>
            </w:r>
          </w:p>
        </w:tc>
        <w:tc>
          <w:tcPr>
            <w:tcW w:type="dxa" w:w="41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Model's confidence in the identification, as a percentage.</w:t>
            </w:r>
          </w:p>
        </w:tc>
      </w:tr>
      <w:tr>
        <w:tc>
          <w:tcPr>
            <w:tcW w:type="dxa" w:w="20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severity</w:t>
            </w:r>
          </w:p>
        </w:tc>
        <w:tc>
          <w:tcPr>
            <w:tcW w:type="dxa" w:w="135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Disease severity: None, Mild, Moderate or Severe.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summary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Plain-language summary of the result.</w:t>
            </w:r>
          </w:p>
        </w:tc>
      </w:tr>
      <w:tr>
        <w:tc>
          <w:tcPr>
            <w:tcW w:type="dxa" w:w="20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treatment</w:t>
            </w:r>
          </w:p>
        </w:tc>
        <w:tc>
          <w:tcPr>
            <w:tcW w:type="dxa" w:w="135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Recommended treatment / management action.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symptoms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Description of the visible symptoms.</w:t>
            </w:r>
          </w:p>
        </w:tc>
      </w:tr>
      <w:tr>
        <w:tc>
          <w:tcPr>
            <w:tcW w:type="dxa" w:w="20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prevention</w:t>
            </w:r>
          </w:p>
        </w:tc>
        <w:tc>
          <w:tcPr>
            <w:tcW w:type="dxa" w:w="135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Prevention advice.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model_used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NULL allowed</w:t>
            </w:r>
          </w:p>
        </w:tc>
        <w:tc>
          <w:tcPr>
            <w:tcW w:type="dxa" w:w="41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AI model that produced the result (e.g. qwen2.5vl:7b-cloud).</w:t>
            </w:r>
          </w:p>
        </w:tc>
      </w:tr>
      <w:tr>
        <w:tc>
          <w:tcPr>
            <w:tcW w:type="dxa" w:w="20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18"/>
                <w:szCs w:val="18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135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TEXT</w:t>
            </w:r>
          </w:p>
        </w:tc>
        <w:tc>
          <w:tcPr>
            <w:tcW w:type="dxa" w:w="190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NOT NULL</w:t>
            </w:r>
          </w:p>
        </w:tc>
        <w:tc>
          <w:tcPr>
            <w:tcW w:type="dxa" w:w="4110"/>
            <w:shd w:fill="F2F7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Timestamp of the scan (YYYY-MM-DD HH:MM:SS).</w:t>
            </w:r>
          </w:p>
        </w:tc>
      </w:tr>
    </w:tbl>
    <w:p>
      <w:pPr>
        <w:spacing w:before="140" w:after="120" w:line="276"/>
        <w:jc w:val="both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Note on booleans and dates: 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SQLite has no dedicated BOOLEAN or DATETIME type, so healthy is stored as an integer (0/1) and created_at as an ISO-8601 text string. This is standard practice for SQLite.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6.  Physical Design (SQL Definition)</w:t>
      </w:r>
    </w:p>
    <w:p>
      <w:pPr>
        <w:spacing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The table is created automatically on application start-up by the </w:t>
      </w:r>
      <w:r>
        <w:rPr>
          <w:color w:val="1A1A1A"/>
          <w:sz w:val="20"/>
          <w:szCs w:val="20"/>
          <w:rFonts w:ascii="Consolas" w:cs="Consolas" w:eastAsia="Consolas" w:hAnsi="Consolas"/>
        </w:rPr>
        <w:t xml:space="preserve">init_db()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function in </w:t>
      </w:r>
      <w:r>
        <w:rPr>
          <w:color w:val="1A1A1A"/>
          <w:sz w:val="20"/>
          <w:szCs w:val="20"/>
          <w:rFonts w:ascii="Consolas" w:cs="Consolas" w:eastAsia="Consolas" w:hAnsi="Consolas"/>
        </w:rPr>
        <w:t xml:space="preserve">db.py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: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CREATE TABLE IF NOT EXISTS scans (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id             INTEGER PRIMARY KEY AUTOINCREMENT,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image_filename TEXT    NOT NULL,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status         TEXT    NOT NULL,   -- ok / not_leaf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crop      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disease   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healthy        INTEGER,            -- 0 / 1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confidence     INTEGER,            -- 0-100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severity  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summary   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treatment 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symptoms  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prevention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model_used     TEXT,</w:t>
      </w:r>
    </w:p>
    <w:p>
      <w:pPr>
        <w:pBdr>
          <w:left w:val="single" w:color="16A34A" w:sz="18" w:space="8"/>
        </w:pBdr>
        <w:shd w:fill="F4F5F2" w:val="clear"/>
        <w:spacing w:after="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    created_at     TEXT    NOT NULL</w:t>
      </w:r>
    </w:p>
    <w:p>
      <w:pPr>
        <w:pBdr>
          <w:left w:val="single" w:color="16A34A" w:sz="18" w:space="8"/>
        </w:pBdr>
        <w:shd w:fill="F4F5F2" w:val="clear"/>
        <w:spacing w:after="140" w:line="240"/>
      </w:pPr>
      <w:r>
        <w:rPr>
          <w:color w:val="333333"/>
          <w:sz w:val="18"/>
          <w:szCs w:val="18"/>
          <w:rFonts w:ascii="Consolas" w:cs="Consolas" w:eastAsia="Consolas" w:hAnsi="Consolas"/>
        </w:rPr>
        <w:t xml:space="preserve">);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7.  Data Flow and Lifecycle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Create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— When a user uploads an image and the AI returns a result, the /upload route calls db.save_scan(), inserting one new row. Only genuine outcomes (ok and not_leaf) are stored; transient failures (network errors or an unconfigured API key) are not persisted.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Read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— The /history route calls db.get_all_scans() (most recent first) and db.get_stats() to render the history page and its summary figures.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Retain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— Records are kept indefinitely. The associated image files live in static/shots/, referenced by image_filename.</w:t>
      </w:r>
    </w:p>
    <w:p>
      <w:pPr>
        <w:spacing w:before="120" w:after="120" w:line="276"/>
        <w:jc w:val="both"/>
      </w:pPr>
      <w:r>
        <w:rPr>
          <w:color w:val="1A1A1A"/>
          <w:sz w:val="22"/>
          <w:szCs w:val="22"/>
          <w:rFonts w:ascii="Calibri" w:cs="Calibri" w:eastAsia="Calibri" w:hAnsi="Calibri"/>
        </w:rPr>
        <w:t xml:space="preserve">The database file (scans.db) is excluded from version control so that generated data and uploaded images are not committed to the repository.</w:t>
      </w:r>
    </w:p>
    <w:p>
      <w:pPr>
        <w:pStyle w:val="Heading1"/>
        <w:spacing w:before="320" w:after="140"/>
      </w:pPr>
      <w:r>
        <w:rPr>
          <w:b/>
          <w:bCs/>
          <w:color w:val="14532D"/>
          <w:sz w:val="30"/>
          <w:szCs w:val="30"/>
          <w:rFonts w:ascii="Calibri" w:cs="Calibri" w:eastAsia="Calibri" w:hAnsi="Calibri"/>
        </w:rPr>
        <w:t xml:space="preserve">8.  Possible Extensions (Future Work)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User accounts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— Introduce a users table and a user_id foreign key on scans, giving a one-to-many relationship (one user to many scans) so each person sees only their own history.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Reference tables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— Normalise crop and disease into lookup tables if a controlled vocabulary or per-disease reference information is required.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color w:val="1A1A1A"/>
          <w:sz w:val="22"/>
          <w:szCs w:val="22"/>
          <w:rFonts w:ascii="Calibri" w:cs="Calibri" w:eastAsia="Calibri" w:hAnsi="Calibri"/>
        </w:rPr>
        <w:t xml:space="preserve">Migration to PostgreSQL</w:t>
      </w:r>
      <w:r>
        <w:rPr>
          <w:color w:val="1A1A1A"/>
          <w:sz w:val="22"/>
          <w:szCs w:val="22"/>
          <w:rFonts w:ascii="Calibri" w:cs="Calibri" w:eastAsia="Calibri" w:hAnsi="Calibri"/>
        </w:rPr>
        <w:t xml:space="preserve"> — For multi-user production use, migrate the same schema to PostgreSQL for better concurrency and remote hosting.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2026-09-08T16:17:49.072Z</dcterms:created>
  <dcterms:modified xsi:type="dcterms:W3CDTF">2026-09-08T16:17:49.074Z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