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D7A6F"/>
          <w:sz w:val="44"/>
          <w:szCs w:val="44"/>
        </w:rPr>
        <w:t xml:space="preserve">RETOMA</w:t>
      </w:r>
    </w:p>
    <w:p>
      <w:pPr>
        <w:spacing w:after="60"/>
        <w:jc w:val="center"/>
      </w:pPr>
      <w:r>
        <w:rPr>
          <w:sz w:val="26"/>
          <w:szCs w:val="26"/>
        </w:rPr>
        <w:t xml:space="preserve">Plataforma de acompañamiento emocional y reinserción laboral para personas que perdieron su empleo</w:t>
      </w:r>
    </w:p>
    <w:p>
      <w:pPr>
        <w:spacing w:after="300"/>
        <w:jc w:val="center"/>
      </w:pPr>
      <w:r>
        <w:rPr>
          <w:i/>
          <w:iCs/>
          <w:color w:val="55696C"/>
          <w:sz w:val="22"/>
          <w:szCs w:val="22"/>
        </w:rPr>
        <w:t xml:space="preserve">HackaTec 2026 · Temática 4: Salud Mental y Bienestar Comunitario</w:t>
      </w:r>
    </w:p>
    <w:p>
      <w:pPr>
        <w:pStyle w:val="Heading1"/>
        <w:spacing w:after="140" w:before="320"/>
      </w:pPr>
      <w:r>
        <w:t xml:space="preserve">1. Definición del problema u área de oportunidad</w:t>
      </w:r>
    </w:p>
    <w:p>
      <w:pPr>
        <w:spacing w:after="120" w:line="300"/>
        <w:jc w:val="both"/>
      </w:pPr>
      <w:r>
        <w:t xml:space="preserve">En agosto de 2026 la tasa de desocupación en México llegó a </w:t>
      </w:r>
      <w:r>
        <w:rPr>
          <w:b/>
          <w:bCs/>
        </w:rPr>
        <w:t xml:space="preserve">3 %</w:t>
      </w:r>
      <w:r>
        <w:t xml:space="preserve">, es decir, </w:t>
      </w:r>
      <w:r>
        <w:rPr>
          <w:b/>
          <w:bCs/>
        </w:rPr>
        <w:t xml:space="preserve">1.9 millones de personas</w:t>
      </w:r>
      <w:r>
        <w:t xml:space="preserve"> sin trabajo, unas 86 mil más que un año antes. El 33.4 % de ellas tiene entre 15 y 24 años y el 47.8 % entre 25 y 44. Además, el 55 % de quienes sí trabajan lo hace en la informalidad, sin seguridad social que los respalde cuando pierden su ingreso (INEGI, ENOE, agosto 2026).</w:t>
      </w:r>
    </w:p>
    <w:p>
      <w:pPr>
        <w:spacing w:after="120" w:line="300"/>
        <w:jc w:val="both"/>
      </w:pPr>
      <w:r>
        <w:t xml:space="preserve">Perder el empleo no es solo un problema económico. La Organización Mundial de la Salud señala que </w:t>
      </w:r>
      <w:r>
        <w:rPr>
          <w:b/>
          <w:bCs/>
        </w:rPr>
        <w:t xml:space="preserve">el desempleo, la inseguridad financiera y la pérdida reciente del empleo son factores de riesgo de intento de suicidio</w:t>
      </w:r>
      <w:r>
        <w:t xml:space="preserve">, y que permanecer sin trabajo también representa un riesgo para la salud mental (OMS, 2024). En la práctica, quien pierde su empleo enfrenta al mismo tiempo estrés por deudas, ansiedad por el futuro, baja autoestima y tensión en casa.</w:t>
      </w:r>
    </w:p>
    <w:p>
      <w:pPr>
        <w:spacing w:after="120" w:line="300"/>
        <w:jc w:val="both"/>
      </w:pPr>
      <w:r>
        <w:t xml:space="preserve">A esto se suman tres barreras que identificamos para la región de Puebla, Veracruz, Oaxaca y Tlaxcala:</w:t>
      </w:r>
    </w:p>
    <w:p>
      <w:pPr>
        <w:pStyle w:val="ListParagraph"/>
        <w:numPr>
          <w:ilvl w:val="0"/>
          <w:numId w:val="2"/>
        </w:numPr>
        <w:spacing w:after="80" w:line="280"/>
      </w:pPr>
      <w:r>
        <w:rPr>
          <w:b/>
          <w:bCs/>
        </w:rPr>
        <w:t xml:space="preserve">Estigma y falta de detección: </w:t>
      </w:r>
      <w:r>
        <w:t xml:space="preserve">la mayoría no busca atención psicológica y nadie detecta a tiempo quién necesita ayuda urgente.</w:t>
      </w:r>
    </w:p>
    <w:p>
      <w:pPr>
        <w:pStyle w:val="ListParagraph"/>
        <w:numPr>
          <w:ilvl w:val="0"/>
          <w:numId w:val="2"/>
        </w:numPr>
        <w:spacing w:after="80" w:line="280"/>
      </w:pPr>
      <w:r>
        <w:rPr>
          <w:b/>
          <w:bCs/>
        </w:rPr>
        <w:t xml:space="preserve">Información dispersa: </w:t>
      </w:r>
      <w:r>
        <w:t xml:space="preserve">los apoyos de gobierno, los cursos de los ICAT y CECATI y los centros de salud mental existen, pero están en decenas de sitios distintos y la persona no sabe cuáles le corresponden.</w:t>
      </w:r>
    </w:p>
    <w:p>
      <w:pPr>
        <w:pStyle w:val="ListParagraph"/>
        <w:numPr>
          <w:ilvl w:val="0"/>
          <w:numId w:val="2"/>
        </w:numPr>
        <w:spacing w:after="80" w:line="280"/>
      </w:pPr>
      <w:r>
        <w:rPr>
          <w:b/>
          <w:bCs/>
        </w:rPr>
        <w:t xml:space="preserve">Aislamiento: </w:t>
      </w:r>
      <w:r>
        <w:t xml:space="preserve">al perder el trabajo se pierde también la red social diaria; no hay un espacio seguro para hablar con gente que pasa por lo mismo.</w:t>
      </w:r>
    </w:p>
    <w:p>
      <w:pPr>
        <w:spacing w:after="120" w:line="300"/>
        <w:jc w:val="both"/>
      </w:pPr>
      <w:r>
        <w:rPr>
          <w:b/>
          <w:bCs/>
        </w:rPr>
        <w:t xml:space="preserve">Área de oportunidad: </w:t>
      </w:r>
      <w:r>
        <w:t xml:space="preserve">un espacio digital seguro que, en un solo lugar, detecte cómo está afectando el desempleo a la salud mental de la persona, la canalice a ayuda profesional cuando el riesgo es alto y, al mismo tiempo, le devuelva un sentido de futuro con cursos de oficio, apoyos públicos y vacantes de empresas solidarias.</w:t>
      </w:r>
    </w:p>
    <w:p>
      <w:pPr>
        <w:pStyle w:val="Heading1"/>
        <w:spacing w:after="140" w:before="320"/>
      </w:pPr>
      <w:r>
        <w:t xml:space="preserve">2. Descripción de la propuesta de solución</w:t>
      </w:r>
    </w:p>
    <w:p>
      <w:pPr>
        <w:spacing w:after="120" w:line="300"/>
        <w:jc w:val="both"/>
      </w:pPr>
      <w:r>
        <w:rPr>
          <w:b/>
          <w:bCs/>
        </w:rPr>
        <w:t xml:space="preserve">Retoma</w:t>
      </w:r>
      <w:r>
        <w:t xml:space="preserve"> es una plataforma web, accesible desde celular o computadora, para personas que perdieron su empleo. No sustituye al terapeuta: detecta quién necesita ayuda, ofrece contención inmediata y acompaña el regreso al trabajo. Tiene dos perfiles completamente separados: personas que buscan empleo y empresas que ofrecen vacantes.</w:t>
      </w:r>
    </w:p>
    <w:p>
      <w:pPr>
        <w:pStyle w:val="Heading2"/>
        <w:spacing w:after="100" w:before="200"/>
      </w:pPr>
      <w:r>
        <w:t xml:space="preserve">Módulos para la persona</w:t>
      </w:r>
    </w:p>
    <w:p>
      <w:pPr>
        <w:pStyle w:val="ListParagraph"/>
        <w:numPr>
          <w:ilvl w:val="0"/>
          <w:numId w:val="3"/>
        </w:numPr>
        <w:spacing w:after="80" w:line="280"/>
      </w:pPr>
      <w:r>
        <w:rPr>
          <w:b/>
          <w:bCs/>
        </w:rPr>
        <w:t xml:space="preserve">Cuestionario de afectación. </w:t>
      </w:r>
      <w:r>
        <w:t xml:space="preserve">Doce preguntas en cuatro dimensiones (estrés, ansiedad, autoestima y vida familiar), una por pantalla con barra de progreso, opción de guardar y continuar después y un campo opcional para dictar por voz cómo se siente.</w:t>
      </w:r>
    </w:p>
    <w:p>
      <w:pPr>
        <w:pStyle w:val="ListParagraph"/>
        <w:numPr>
          <w:ilvl w:val="0"/>
          <w:numId w:val="3"/>
        </w:numPr>
        <w:spacing w:after="80" w:line="280"/>
      </w:pPr>
      <w:r>
        <w:rPr>
          <w:b/>
          <w:bCs/>
        </w:rPr>
        <w:t xml:space="preserve">Resultado y canalización. </w:t>
      </w:r>
      <w:r>
        <w:t xml:space="preserve">Nivel general y por dimensión, consejos concretos y, si el riesgo es alto, mensaje de contención con enlace directo a ayuda profesional.</w:t>
      </w:r>
    </w:p>
    <w:p>
      <w:pPr>
        <w:pStyle w:val="ListParagraph"/>
        <w:numPr>
          <w:ilvl w:val="0"/>
          <w:numId w:val="3"/>
        </w:numPr>
        <w:spacing w:after="80" w:line="280"/>
      </w:pPr>
      <w:r>
        <w:rPr>
          <w:b/>
          <w:bCs/>
        </w:rPr>
        <w:t xml:space="preserve">Pantalla de crisis. </w:t>
      </w:r>
      <w:r>
        <w:t xml:space="preserve">Línea de la Vida (800 911 2000), respiración guiada y directorio de Centros Comunitarios de Salud Mental (CECOSAMA) por estado.</w:t>
      </w:r>
    </w:p>
    <w:p>
      <w:pPr>
        <w:pStyle w:val="ListParagraph"/>
        <w:numPr>
          <w:ilvl w:val="0"/>
          <w:numId w:val="3"/>
        </w:numPr>
        <w:spacing w:after="80" w:line="280"/>
      </w:pPr>
      <w:r>
        <w:rPr>
          <w:b/>
          <w:bCs/>
        </w:rPr>
        <w:t xml:space="preserve">Foro de apoyo «El muro». </w:t>
      </w:r>
      <w:r>
        <w:t xml:space="preserve">Notas tipo post-it donde quienes pasan por lo mismo se motivan; con normas, filtro de groserías, advertencia de contenido sensible y botón de reporte.</w:t>
      </w:r>
    </w:p>
    <w:p>
      <w:pPr>
        <w:pStyle w:val="ListParagraph"/>
        <w:numPr>
          <w:ilvl w:val="0"/>
          <w:numId w:val="3"/>
        </w:numPr>
        <w:spacing w:after="80" w:line="280"/>
      </w:pPr>
      <w:r>
        <w:rPr>
          <w:b/>
          <w:bCs/>
        </w:rPr>
        <w:t xml:space="preserve">Cursos y apoyos. </w:t>
      </w:r>
      <w:r>
        <w:t xml:space="preserve">Cursos de oficio y emprendimiento (ICATEP, ICATVER, ICAPET, ICATLAX, CECATI) y apoyos de gobierno filtrados por estado, con un mini cuestionario que indica cuáles le corresponden y la lista de documentos necesarios.</w:t>
      </w:r>
    </w:p>
    <w:p>
      <w:pPr>
        <w:pStyle w:val="ListParagraph"/>
        <w:numPr>
          <w:ilvl w:val="0"/>
          <w:numId w:val="3"/>
        </w:numPr>
        <w:spacing w:after="80" w:line="280"/>
      </w:pPr>
      <w:r>
        <w:rPr>
          <w:b/>
          <w:bCs/>
        </w:rPr>
        <w:t xml:space="preserve">Mi ruta y Mi mapa de valía. </w:t>
      </w:r>
      <w:r>
        <w:t xml:space="preserve">Panel personal con la evolución de sus resultados, cursos, trámites, postulaciones y avisos; y un espacio privado para registrar logros y cualidades, independiente de tener empleo.</w:t>
      </w:r>
    </w:p>
    <w:p>
      <w:pPr>
        <w:pStyle w:val="Heading2"/>
        <w:spacing w:after="100" w:before="200"/>
      </w:pPr>
      <w:r>
        <w:t xml:space="preserve">Módulos para la empresa</w:t>
      </w:r>
    </w:p>
    <w:p>
      <w:pPr>
        <w:pStyle w:val="ListParagraph"/>
        <w:numPr>
          <w:ilvl w:val="0"/>
          <w:numId w:val="2"/>
        </w:numPr>
        <w:spacing w:after="80" w:line="280"/>
      </w:pPr>
      <w:r>
        <w:t xml:space="preserve">Registro propio y publicación gratuita de vacantes solidarias con número de lugares, sueldo y declaración de prestaciones de ley (filtro de dignidad).</w:t>
      </w:r>
    </w:p>
    <w:p>
      <w:pPr>
        <w:pStyle w:val="ListParagraph"/>
        <w:numPr>
          <w:ilvl w:val="0"/>
          <w:numId w:val="2"/>
        </w:numPr>
        <w:spacing w:after="80" w:line="280"/>
      </w:pPr>
      <w:r>
        <w:t xml:space="preserve">Gestión de postulaciones con estados (recibida, en revisión, entrevista, contratado). La empresa nunca ve los resultados emocionales de la persona.</w:t>
      </w:r>
    </w:p>
    <w:p>
      <w:pPr>
        <w:pStyle w:val="Heading2"/>
        <w:spacing w:after="100" w:before="200"/>
      </w:pPr>
      <w:r>
        <w:t xml:space="preserve">Seguimiento</w:t>
      </w:r>
    </w:p>
    <w:p>
      <w:pPr>
        <w:spacing w:after="120" w:line="300"/>
        <w:jc w:val="both"/>
      </w:pPr>
      <w:r>
        <w:t xml:space="preserve">Con consentimiento expreso, el equipo puede ver en un panel local quién está empeorando o en nivel grave para orientarle a tiempo, además de moderar los reportes del foro.</w:t>
      </w:r>
    </w:p>
    <w:p>
      <w:pPr>
        <w:pStyle w:val="Heading1"/>
        <w:spacing w:after="140" w:before="320"/>
      </w:pPr>
      <w:r>
        <w:t xml:space="preserve">3. Metodología de desarrollo de la solución</w:t>
      </w:r>
    </w:p>
    <w:p>
      <w:pPr>
        <w:spacing w:after="120" w:line="300"/>
        <w:jc w:val="both"/>
      </w:pPr>
      <w:r>
        <w:t xml:space="preserve">Se combinó </w:t>
      </w:r>
      <w:r>
        <w:rPr>
          <w:b/>
          <w:bCs/>
        </w:rPr>
        <w:t xml:space="preserve">Design Thinking</w:t>
      </w:r>
      <w:r>
        <w:t xml:space="preserve"> para entender a la persona usuaria con un </w:t>
      </w:r>
      <w:r>
        <w:rPr>
          <w:b/>
          <w:bCs/>
        </w:rPr>
        <w:t xml:space="preserve">modelo de desarrollo iterativo e incremental</w:t>
      </w:r>
      <w:r>
        <w:t xml:space="preserve">, entregando versiones funcionales que se ajustaron con la retroalimentación del asesor.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626"/>
        <w:gridCol w:w="2500"/>
      </w:tblGrid>
      <w:tr>
        <w:trPr>
          <w:tblHeader/>
        </w:trPr>
        <w:tc>
          <w:tcPr>
            <w:tcW w:type="dxa" w:w="1900"/>
            <w:tcBorders>
              <w:top w:val="single" w:color="C9D3D0" w:sz="4"/>
              <w:left w:val="single" w:color="C9D3D0" w:sz="4"/>
              <w:bottom w:val="single" w:color="C9D3D0" w:sz="4"/>
              <w:right w:val="single" w:color="C9D3D0" w:sz="4"/>
            </w:tcBorders>
            <w:shd w:fill="2A9D8F" w:color="auto" w:val="clear"/>
            <w:tcMar>
              <w:top w:type="dxa" w:w="80"/>
              <w:left w:type="dxa" w:w="100"/>
              <w:bottom w:type="dxa" w:w="80"/>
              <w:right w:type="dxa" w:w="100"/>
            </w:tcMar>
          </w:tcPr>
          <w:p>
            <w:r>
              <w:rPr>
                <w:b/>
                <w:bCs/>
                <w:color w:val="FFFFFF"/>
                <w:sz w:val="20"/>
                <w:szCs w:val="20"/>
              </w:rPr>
              <w:t xml:space="preserve">Fase</w:t>
            </w:r>
          </w:p>
        </w:tc>
        <w:tc>
          <w:tcPr>
            <w:tcW w:type="dxa" w:w="4626"/>
            <w:tcBorders>
              <w:top w:val="single" w:color="C9D3D0" w:sz="4"/>
              <w:left w:val="single" w:color="C9D3D0" w:sz="4"/>
              <w:bottom w:val="single" w:color="C9D3D0" w:sz="4"/>
              <w:right w:val="single" w:color="C9D3D0" w:sz="4"/>
            </w:tcBorders>
            <w:shd w:fill="2A9D8F" w:color="auto" w:val="clear"/>
            <w:tcMar>
              <w:top w:type="dxa" w:w="80"/>
              <w:left w:type="dxa" w:w="100"/>
              <w:bottom w:type="dxa" w:w="80"/>
              <w:right w:type="dxa" w:w="100"/>
            </w:tcMar>
          </w:tcPr>
          <w:p>
            <w:r>
              <w:rPr>
                <w:b/>
                <w:bCs/>
                <w:color w:val="FFFFFF"/>
                <w:sz w:val="20"/>
                <w:szCs w:val="20"/>
              </w:rPr>
              <w:t xml:space="preserve">Actividades</w:t>
            </w:r>
          </w:p>
        </w:tc>
        <w:tc>
          <w:tcPr>
            <w:tcW w:type="dxa" w:w="2500"/>
            <w:tcBorders>
              <w:top w:val="single" w:color="C9D3D0" w:sz="4"/>
              <w:left w:val="single" w:color="C9D3D0" w:sz="4"/>
              <w:bottom w:val="single" w:color="C9D3D0" w:sz="4"/>
              <w:right w:val="single" w:color="C9D3D0" w:sz="4"/>
            </w:tcBorders>
            <w:shd w:fill="2A9D8F" w:color="auto" w:val="clear"/>
            <w:tcMar>
              <w:top w:type="dxa" w:w="80"/>
              <w:left w:type="dxa" w:w="100"/>
              <w:bottom w:type="dxa" w:w="80"/>
              <w:right w:type="dxa" w:w="100"/>
            </w:tcMar>
          </w:tcPr>
          <w:p>
            <w:r>
              <w:rPr>
                <w:b/>
                <w:bCs/>
                <w:color w:val="FFFFFF"/>
                <w:sz w:val="20"/>
                <w:szCs w:val="20"/>
              </w:rPr>
              <w:t xml:space="preserve">Resultado</w:t>
            </w:r>
          </w:p>
        </w:tc>
      </w:tr>
      <w:tr>
        <w:tc>
          <w:tcPr>
            <w:tcW w:type="dxa" w:w="19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1. Empatizar y definir</w:t>
            </w:r>
          </w:p>
        </w:tc>
        <w:tc>
          <w:tcPr>
            <w:tcW w:type="dxa" w:w="46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Análisis del reto, datos de INEGI y OMS, identificación de la población objetivo (personas desempleadas de Puebla, Veracruz, Oaxaca y Tlaxcala).</w:t>
            </w:r>
          </w:p>
        </w:tc>
        <w:tc>
          <w:tcPr>
            <w:tcW w:type="dxa" w:w="25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Problema y área de oportunidad definidos.</w:t>
            </w:r>
          </w:p>
        </w:tc>
      </w:tr>
      <w:tr>
        <w:tc>
          <w:tcPr>
            <w:tcW w:type="dxa" w:w="19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2. Idear</w:t>
            </w:r>
          </w:p>
        </w:tc>
        <w:tc>
          <w:tcPr>
            <w:tcW w:type="dxa" w:w="46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Definición de módulos: detección, contención, comunidad, reinserción laboral y perfil de empresas.</w:t>
            </w:r>
          </w:p>
        </w:tc>
        <w:tc>
          <w:tcPr>
            <w:tcW w:type="dxa" w:w="25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Mapa de funciones y flujos de navegación.</w:t>
            </w:r>
          </w:p>
        </w:tc>
      </w:tr>
      <w:tr>
        <w:tc>
          <w:tcPr>
            <w:tcW w:type="dxa" w:w="19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3. Prototipar</w:t>
            </w:r>
          </w:p>
        </w:tc>
        <w:tc>
          <w:tcPr>
            <w:tcW w:type="dxa" w:w="46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Maqueta navegable en HTML, CSS y JavaScript para validar diseño, colores y tono empático.</w:t>
            </w:r>
          </w:p>
        </w:tc>
        <w:tc>
          <w:tcPr>
            <w:tcW w:type="dxa" w:w="25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Prototipo de interfaz.</w:t>
            </w:r>
          </w:p>
        </w:tc>
      </w:tr>
      <w:tr>
        <w:tc>
          <w:tcPr>
            <w:tcW w:type="dxa" w:w="19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4. Desarrollar</w:t>
            </w:r>
          </w:p>
        </w:tc>
        <w:tc>
          <w:tcPr>
            <w:tcW w:type="dxa" w:w="46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Construcción en PHP y MySQL: base de datos, autenticación, cuestionario, foro, cursos, apoyos, vacantes y paneles.</w:t>
            </w:r>
          </w:p>
        </w:tc>
        <w:tc>
          <w:tcPr>
            <w:tcW w:type="dxa" w:w="25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Versión funcional con datos reales.</w:t>
            </w:r>
          </w:p>
        </w:tc>
      </w:tr>
      <w:tr>
        <w:tc>
          <w:tcPr>
            <w:tcW w:type="dxa" w:w="19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5. Probar</w:t>
            </w:r>
          </w:p>
        </w:tc>
        <w:tc>
          <w:tcPr>
            <w:tcW w:type="dxa" w:w="46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Pruebas funcionales automatizadas de cada flujo y pruebas en computadora y celulares.</w:t>
            </w:r>
          </w:p>
        </w:tc>
        <w:tc>
          <w:tcPr>
            <w:tcW w:type="dxa" w:w="25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Corrección de errores y de usabilidad.</w:t>
            </w:r>
          </w:p>
        </w:tc>
      </w:tr>
      <w:tr>
        <w:tc>
          <w:tcPr>
            <w:tcW w:type="dxa" w:w="19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6. Iterar</w:t>
            </w:r>
          </w:p>
        </w:tc>
        <w:tc>
          <w:tcPr>
            <w:tcW w:type="dxa" w:w="46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Atención al informe de revisión del asesor: cobertura regional, separación de perfiles, contención, privacidad y accesibilidad.</w:t>
            </w:r>
          </w:p>
        </w:tc>
        <w:tc>
          <w:tcPr>
            <w:tcW w:type="dxa" w:w="25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Versión mejorada lista para demostración.</w:t>
            </w:r>
          </w:p>
        </w:tc>
      </w:tr>
    </w:tbl>
    <w:p>
      <w:pPr>
        <w:pStyle w:val="Heading1"/>
        <w:spacing w:after="140" w:before="320"/>
      </w:pPr>
      <w:r>
        <w:t xml:space="preserve">4. Herramientas tecnológicas empleadas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9D3D0" w:sz="4"/>
              <w:left w:val="single" w:color="C9D3D0" w:sz="4"/>
              <w:bottom w:val="single" w:color="C9D3D0" w:sz="4"/>
              <w:right w:val="single" w:color="C9D3D0" w:sz="4"/>
            </w:tcBorders>
            <w:shd w:fill="2A9D8F" w:color="auto" w:val="clear"/>
            <w:tcMar>
              <w:top w:type="dxa" w:w="80"/>
              <w:left w:type="dxa" w:w="100"/>
              <w:bottom w:type="dxa" w:w="80"/>
              <w:right w:type="dxa" w:w="100"/>
            </w:tcMar>
          </w:tcPr>
          <w:p>
            <w:r>
              <w:rPr>
                <w:b/>
                <w:bCs/>
                <w:color w:val="FFFFFF"/>
                <w:sz w:val="20"/>
                <w:szCs w:val="20"/>
              </w:rPr>
              <w:t xml:space="preserve">Herramienta</w:t>
            </w:r>
          </w:p>
        </w:tc>
        <w:tc>
          <w:tcPr>
            <w:tcW w:type="dxa" w:w="6026"/>
            <w:tcBorders>
              <w:top w:val="single" w:color="C9D3D0" w:sz="4"/>
              <w:left w:val="single" w:color="C9D3D0" w:sz="4"/>
              <w:bottom w:val="single" w:color="C9D3D0" w:sz="4"/>
              <w:right w:val="single" w:color="C9D3D0" w:sz="4"/>
            </w:tcBorders>
            <w:shd w:fill="2A9D8F" w:color="auto" w:val="clear"/>
            <w:tcMar>
              <w:top w:type="dxa" w:w="80"/>
              <w:left w:type="dxa" w:w="100"/>
              <w:bottom w:type="dxa" w:w="80"/>
              <w:right w:type="dxa" w:w="100"/>
            </w:tcMar>
          </w:tcPr>
          <w:p>
            <w:r>
              <w:rPr>
                <w:b/>
                <w:bCs/>
                <w:color w:val="FFFFFF"/>
                <w:sz w:val="20"/>
                <w:szCs w:val="20"/>
              </w:rPr>
              <w:t xml:space="preserve">Uso en Retoma</w:t>
            </w:r>
          </w:p>
        </w:tc>
      </w:tr>
      <w:tr>
        <w:tc>
          <w:tcPr>
            <w:tcW w:type="dxa" w:w="30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PHP 8</w:t>
            </w:r>
          </w:p>
        </w:tc>
        <w:tc>
          <w:tcPr>
            <w:tcW w:type="dxa" w:w="60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Lógica del servidor, sesiones, validaciones y cálculo de resultados.</w:t>
            </w:r>
          </w:p>
        </w:tc>
      </w:tr>
      <w:tr>
        <w:tc>
          <w:tcPr>
            <w:tcW w:type="dxa" w:w="30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MySQL / MariaDB (MAMP)</w:t>
            </w:r>
          </w:p>
        </w:tc>
        <w:tc>
          <w:tcPr>
            <w:tcW w:type="dxa" w:w="60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Base de datos relacional: usuarios, evaluaciones, foro, cursos, vacantes y seguimiento.</w:t>
            </w:r>
          </w:p>
        </w:tc>
      </w:tr>
      <w:tr>
        <w:tc>
          <w:tcPr>
            <w:tcW w:type="dxa" w:w="30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HTML5, CSS3 y JavaScript</w:t>
            </w:r>
          </w:p>
        </w:tc>
        <w:tc>
          <w:tcPr>
            <w:tcW w:type="dxa" w:w="60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Interfaz adaptable a celular, cuestionario por pasos, diálogos y validaciones.</w:t>
            </w:r>
          </w:p>
        </w:tc>
      </w:tr>
      <w:tr>
        <w:tc>
          <w:tcPr>
            <w:tcW w:type="dxa" w:w="30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Web Speech API</w:t>
            </w:r>
          </w:p>
        </w:tc>
        <w:tc>
          <w:tcPr>
            <w:tcW w:type="dxa" w:w="60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Dictado por voz en los campos de texto.</w:t>
            </w:r>
          </w:p>
        </w:tc>
      </w:tr>
      <w:tr>
        <w:tc>
          <w:tcPr>
            <w:tcW w:type="dxa" w:w="30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Web Audio API</w:t>
            </w:r>
          </w:p>
        </w:tc>
        <w:tc>
          <w:tcPr>
            <w:tcW w:type="dxa" w:w="60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Análisis de la voz (volumen, ritmo, pausas y tono) para estimar el ánimo, que la persona confirma.</w:t>
            </w:r>
          </w:p>
        </w:tc>
      </w:tr>
      <w:tr>
        <w:tc>
          <w:tcPr>
            <w:tcW w:type="dxa" w:w="30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PDO</w:t>
            </w:r>
          </w:p>
        </w:tc>
        <w:tc>
          <w:tcPr>
            <w:tcW w:type="dxa" w:w="60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Conexión segura a la base de datos con consultas preparadas.</w:t>
            </w:r>
          </w:p>
        </w:tc>
      </w:tr>
      <w:tr>
        <w:tc>
          <w:tcPr>
            <w:tcW w:type="dxa" w:w="30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Visual Studio Code</w:t>
            </w:r>
          </w:p>
        </w:tc>
        <w:tc>
          <w:tcPr>
            <w:tcW w:type="dxa" w:w="60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Editor de código.</w:t>
            </w:r>
          </w:p>
        </w:tc>
      </w:tr>
      <w:tr>
        <w:tc>
          <w:tcPr>
            <w:tcW w:type="dxa" w:w="30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localhost.run (túnel HTTPS)</w:t>
            </w:r>
          </w:p>
        </w:tc>
        <w:tc>
          <w:tcPr>
            <w:tcW w:type="dxa" w:w="60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Publicar la demostración con enlace seguro para probarla desde cualquier celular.</w:t>
            </w:r>
          </w:p>
        </w:tc>
      </w:tr>
      <w:tr>
        <w:tc>
          <w:tcPr>
            <w:tcW w:type="dxa" w:w="30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Playwright</w:t>
            </w:r>
          </w:p>
        </w:tc>
        <w:tc>
          <w:tcPr>
            <w:tcW w:type="dxa" w:w="60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Pruebas automatizadas de los flujos en navegador.</w:t>
            </w:r>
          </w:p>
        </w:tc>
      </w:tr>
      <w:tr>
        <w:tc>
          <w:tcPr>
            <w:tcW w:type="dxa" w:w="30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Claude (asistente de IA)</w:t>
            </w:r>
          </w:p>
        </w:tc>
        <w:tc>
          <w:tcPr>
            <w:tcW w:type="dxa" w:w="60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Apoyo en programación, investigación de fuentes oficiales y redacción.</w:t>
            </w:r>
          </w:p>
        </w:tc>
      </w:tr>
    </w:tbl>
    <w:p>
      <w:pPr>
        <w:pStyle w:val="Heading1"/>
        <w:spacing w:after="140" w:before="320"/>
      </w:pPr>
      <w:r>
        <w:t xml:space="preserve">5. Especificación técnica de la propuesta</w:t>
      </w:r>
    </w:p>
    <w:p>
      <w:pPr>
        <w:pStyle w:val="Heading2"/>
        <w:spacing w:after="100" w:before="200"/>
      </w:pPr>
      <w:r>
        <w:t xml:space="preserve">Arquitectura</w:t>
      </w:r>
    </w:p>
    <w:p>
      <w:pPr>
        <w:spacing w:after="120" w:line="300"/>
        <w:jc w:val="both"/>
      </w:pPr>
      <w:r>
        <w:t xml:space="preserve">Aplicación web cliente-servidor. El navegador muestra las páginas y ejecuta JavaScript para la interacción; el servidor PHP procesa formularios y consulta MySQL. Funciona en cualquier servidor con PHP 8 y MySQL (en desarrollo se usa MAMP). La base de datos se crea y se actualiza sola al primer acceso.</w:t>
      </w:r>
    </w:p>
    <w:p>
      <w:pPr>
        <w:pStyle w:val="Heading2"/>
        <w:spacing w:after="100" w:before="200"/>
      </w:pPr>
      <w:r>
        <w:t xml:space="preserve">Base de datos (13 tablas)</w:t>
      </w:r>
    </w:p>
    <w:p>
      <w:pPr>
        <w:spacing w:after="120" w:line="300"/>
        <w:jc w:val="both"/>
      </w:pPr>
      <w:r>
        <w:t xml:space="preserve">usuarios (personas y empresas, separadas por tipo), evaluaciones, notas, apoyos, comentarios, denuncias, cursos, cursos_guardados, apoyos_guardados, vacantes, postulaciones, valia y preferencias. Las respuestas emocionales se guardan en la tabla evaluaciones, sin relación con vacantes ni postulaciones.</w:t>
      </w:r>
    </w:p>
    <w:p>
      <w:pPr>
        <w:pStyle w:val="Heading2"/>
        <w:spacing w:after="100" w:before="200"/>
      </w:pPr>
      <w:r>
        <w:t xml:space="preserve">Lógica principal</w:t>
      </w:r>
    </w:p>
    <w:p>
      <w:pPr>
        <w:pStyle w:val="ListParagraph"/>
        <w:numPr>
          <w:ilvl w:val="0"/>
          <w:numId w:val="2"/>
        </w:numPr>
        <w:spacing w:after="80" w:line="280"/>
      </w:pPr>
      <w:r>
        <w:rPr>
          <w:b/>
          <w:bCs/>
        </w:rPr>
        <w:t xml:space="preserve">Cuestionario: </w:t>
      </w:r>
      <w:r>
        <w:t xml:space="preserve">12 reactivos en escala 0–3; cada dimensión suma de 0 a 9 (bajo, medio, alto). El nivel general es grave con dos dimensiones altas o 24 puntos o más; moderado con una alta o 15 puntos o más. Si cuatro o más respuestas son «casi todos los días», se muestra contención y enlace a ayuda.</w:t>
      </w:r>
    </w:p>
    <w:p>
      <w:pPr>
        <w:pStyle w:val="ListParagraph"/>
        <w:numPr>
          <w:ilvl w:val="0"/>
          <w:numId w:val="2"/>
        </w:numPr>
        <w:spacing w:after="80" w:line="280"/>
      </w:pPr>
      <w:r>
        <w:rPr>
          <w:b/>
          <w:bCs/>
        </w:rPr>
        <w:t xml:space="preserve">Detección de riesgo: </w:t>
      </w:r>
      <w:r>
        <w:t xml:space="preserve">búsqueda de frases de crisis en lo que la persona escribe o dicta, que activa de inmediato la Línea de la Vida.</w:t>
      </w:r>
    </w:p>
    <w:p>
      <w:pPr>
        <w:pStyle w:val="ListParagraph"/>
        <w:numPr>
          <w:ilvl w:val="0"/>
          <w:numId w:val="2"/>
        </w:numPr>
        <w:spacing w:after="80" w:line="280"/>
      </w:pPr>
      <w:r>
        <w:rPr>
          <w:b/>
          <w:bCs/>
        </w:rPr>
        <w:t xml:space="preserve">Análisis de voz: </w:t>
      </w:r>
      <w:r>
        <w:t xml:space="preserve">estimación del ánimo combinando palabras del texto dictado con volumen, ritmo, pausas y variación del tono; siempre se pide confirmación a la persona.</w:t>
      </w:r>
    </w:p>
    <w:p>
      <w:pPr>
        <w:pStyle w:val="ListParagraph"/>
        <w:numPr>
          <w:ilvl w:val="0"/>
          <w:numId w:val="2"/>
        </w:numPr>
        <w:spacing w:after="80" w:line="280"/>
      </w:pPr>
      <w:r>
        <w:rPr>
          <w:b/>
          <w:bCs/>
        </w:rPr>
        <w:t xml:space="preserve">Moderación del foro: </w:t>
      </w:r>
      <w:r>
        <w:t xml:space="preserve">filtro de palabras altisonantes, detección de texto sin sentido, advertencia de contenido sensible y ocultamiento automático con tres reportes.</w:t>
      </w:r>
    </w:p>
    <w:p>
      <w:pPr>
        <w:pStyle w:val="ListParagraph"/>
        <w:numPr>
          <w:ilvl w:val="0"/>
          <w:numId w:val="2"/>
        </w:numPr>
        <w:spacing w:after="80" w:line="280"/>
      </w:pPr>
      <w:r>
        <w:rPr>
          <w:b/>
          <w:bCs/>
        </w:rPr>
        <w:t xml:space="preserve">Filtro regional: </w:t>
      </w:r>
      <w:r>
        <w:t xml:space="preserve">cursos, apoyos, vacantes y centros de salud mental se muestran según el estado de la persona.</w:t>
      </w:r>
    </w:p>
    <w:p>
      <w:pPr>
        <w:pStyle w:val="Heading2"/>
        <w:spacing w:after="100" w:before="200"/>
      </w:pPr>
      <w:r>
        <w:t xml:space="preserve">Seguridad y privacidad</w:t>
      </w:r>
    </w:p>
    <w:p>
      <w:pPr>
        <w:pStyle w:val="ListParagraph"/>
        <w:numPr>
          <w:ilvl w:val="0"/>
          <w:numId w:val="2"/>
        </w:numPr>
        <w:spacing w:after="80" w:line="280"/>
      </w:pPr>
      <w:r>
        <w:t xml:space="preserve">Contraseñas cifradas (password_hash), consultas preparadas contra inyección SQL, token contra falsificación de formularios y escape de todo texto mostrado.</w:t>
      </w:r>
    </w:p>
    <w:p>
      <w:pPr>
        <w:pStyle w:val="ListParagraph"/>
        <w:numPr>
          <w:ilvl w:val="0"/>
          <w:numId w:val="2"/>
        </w:numPr>
        <w:spacing w:after="80" w:line="280"/>
      </w:pPr>
      <w:r>
        <w:t xml:space="preserve">Aviso de privacidad conforme a la Ley Federal de Protección de Datos Personales; consentimiento expreso para datos sensibles de salud emocional.</w:t>
      </w:r>
    </w:p>
    <w:p>
      <w:pPr>
        <w:pStyle w:val="ListParagraph"/>
        <w:numPr>
          <w:ilvl w:val="0"/>
          <w:numId w:val="2"/>
        </w:numPr>
        <w:spacing w:after="80" w:line="280"/>
      </w:pPr>
      <w:r>
        <w:t xml:space="preserve">El panel de seguimiento y el reinicio de datos solo se abren desde la computadora del servidor.</w:t>
      </w:r>
    </w:p>
    <w:p>
      <w:pPr>
        <w:pStyle w:val="Heading2"/>
        <w:spacing w:after="100" w:before="200"/>
      </w:pPr>
      <w:r>
        <w:t xml:space="preserve">Accesibilidad</w:t>
      </w:r>
    </w:p>
    <w:p>
      <w:pPr>
        <w:pStyle w:val="ListParagraph"/>
        <w:numPr>
          <w:ilvl w:val="0"/>
          <w:numId w:val="2"/>
        </w:numPr>
        <w:spacing w:after="80" w:line="280"/>
      </w:pPr>
      <w:r>
        <w:t xml:space="preserve">Diseño adaptable a celular, navegación por teclado, etiquetas para lectores de pantalla, dictado por voz en todos los campos y botón «Necesito ayuda» con confirmación en todas las pantallas.</w:t>
      </w:r>
    </w:p>
    <w:p>
      <w:pPr>
        <w:pStyle w:val="Heading1"/>
        <w:spacing w:after="140" w:before="320"/>
      </w:pPr>
      <w:r>
        <w:t xml:space="preserve">6. Ejes transversales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9D3D0" w:sz="4"/>
              <w:left w:val="single" w:color="C9D3D0" w:sz="4"/>
              <w:bottom w:val="single" w:color="C9D3D0" w:sz="4"/>
              <w:right w:val="single" w:color="C9D3D0" w:sz="4"/>
            </w:tcBorders>
            <w:shd w:fill="2A9D8F" w:color="auto" w:val="clear"/>
            <w:tcMar>
              <w:top w:type="dxa" w:w="80"/>
              <w:left w:type="dxa" w:w="100"/>
              <w:bottom w:type="dxa" w:w="80"/>
              <w:right w:type="dxa" w:w="100"/>
            </w:tcMar>
          </w:tcPr>
          <w:p>
            <w:r>
              <w:rPr>
                <w:b/>
                <w:bCs/>
                <w:color w:val="FFFFFF"/>
                <w:sz w:val="20"/>
                <w:szCs w:val="20"/>
              </w:rPr>
              <w:t xml:space="preserve">Eje</w:t>
            </w:r>
          </w:p>
        </w:tc>
        <w:tc>
          <w:tcPr>
            <w:tcW w:type="dxa" w:w="6626"/>
            <w:tcBorders>
              <w:top w:val="single" w:color="C9D3D0" w:sz="4"/>
              <w:left w:val="single" w:color="C9D3D0" w:sz="4"/>
              <w:bottom w:val="single" w:color="C9D3D0" w:sz="4"/>
              <w:right w:val="single" w:color="C9D3D0" w:sz="4"/>
            </w:tcBorders>
            <w:shd w:fill="2A9D8F" w:color="auto" w:val="clear"/>
            <w:tcMar>
              <w:top w:type="dxa" w:w="80"/>
              <w:left w:type="dxa" w:w="100"/>
              <w:bottom w:type="dxa" w:w="80"/>
              <w:right w:type="dxa" w:w="100"/>
            </w:tcMar>
          </w:tcPr>
          <w:p>
            <w:r>
              <w:rPr>
                <w:b/>
                <w:bCs/>
                <w:color w:val="FFFFFF"/>
                <w:sz w:val="20"/>
                <w:szCs w:val="20"/>
              </w:rPr>
              <w:t xml:space="preserve">Cómo lo atiende Retoma</w:t>
            </w:r>
          </w:p>
        </w:tc>
      </w:tr>
      <w:tr>
        <w:tc>
          <w:tcPr>
            <w:tcW w:type="dxa" w:w="24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Inclusión y equidad</w:t>
            </w:r>
          </w:p>
        </w:tc>
        <w:tc>
          <w:tcPr>
            <w:tcW w:type="dxa" w:w="66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Diseñada para población vulnerable: personas desempleadas, jóvenes y trabajadores informales sin seguridad social. Lenguaje neutro y sencillo, uso gratuito, alias para proteger la identidad, dictado por voz para quien no escribe con facilidad y contenido regional para cuatro estados.</w:t>
            </w:r>
          </w:p>
        </w:tc>
      </w:tr>
      <w:tr>
        <w:tc>
          <w:tcPr>
            <w:tcW w:type="dxa" w:w="24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Impacto social</w:t>
            </w:r>
          </w:p>
        </w:tc>
        <w:tc>
          <w:tcPr>
            <w:tcW w:type="dxa" w:w="66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Detecta a tiempo a quien está en riesgo y lo canaliza a ayuda profesional; fortalece redes de apoyo entre pares; conecta con capacitación, apoyos públicos y empleo digno, lo que mejora la calidad de vida de las familias.</w:t>
            </w:r>
          </w:p>
        </w:tc>
      </w:tr>
      <w:tr>
        <w:tc>
          <w:tcPr>
            <w:tcW w:type="dxa" w:w="24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Sustentabilidad y sostenibilidad</w:t>
            </w:r>
          </w:p>
        </w:tc>
        <w:tc>
          <w:tcPr>
            <w:tcW w:type="dxa" w:w="66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Promueve el autoempleo y el trabajo digno (ODS 8) y la salud mental (ODS 3) de la Agenda 2030. Es un servicio digital sin papel, que puede operar con bajo costo y aprovecha programas públicos ya existentes en lugar de duplicarlos.</w:t>
            </w:r>
          </w:p>
        </w:tc>
      </w:tr>
      <w:tr>
        <w:tc>
          <w:tcPr>
            <w:tcW w:type="dxa" w:w="24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Tecnologías emergentes</w:t>
            </w:r>
          </w:p>
        </w:tc>
        <w:tc>
          <w:tcPr>
            <w:tcW w:type="dxa" w:w="66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Reconocimiento de voz y análisis acústico para estimar el ánimo, procesamiento de lenguaje natural para detectar señales de crisis, y una base de respuestas etiquetadas por las propias personas que permitiría entrenar un modelo de inteligencia artificial a futuro.</w:t>
            </w:r>
          </w:p>
        </w:tc>
      </w:tr>
    </w:tbl>
    <w:p>
      <w:pPr>
        <w:spacing w:after="120" w:line="300"/>
        <w:jc w:val="both"/>
      </w:pPr>
      <w:r>
        <w:t xml:space="preserve"/>
      </w:r>
    </w:p>
    <w:p>
      <w:pPr>
        <w:spacing w:after="120" w:line="300"/>
        <w:jc w:val="both"/>
      </w:pPr>
      <w:r>
        <w:rPr>
          <w:color w:val="55696C"/>
          <w:sz w:val="18"/>
          <w:szCs w:val="18"/>
        </w:rPr>
        <w:t xml:space="preserve">Fuentes: INEGI, Encuesta Nacional de Ocupación y Empleo, agosto 2026. OMS, «La salud mental en el trabajo» (nota descriptiva). CONASAMA, Directorio Nacional de UNEME-CECOSAMA, mayo 2026. TecNM, Manual de Operación InnovaTecNM 2025 (ejes transversales).</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39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D7A6F"/>
      <w:sz w:val="30"/>
      <w:szCs w:val="30"/>
    </w:rPr>
  </w:style>
  <w:style w:type="paragraph" w:styleId="Heading2">
    <w:name w:val="Heading 2"/>
    <w:basedOn w:val="Normal"/>
    <w:next w:val="Normal"/>
    <w:qFormat/>
    <w:pPr>
      <w:outlineLvl w:val="1"/>
    </w:pPr>
    <w:rPr>
      <w:rFonts w:ascii="Arial" w:cs="Arial" w:eastAsia="Arial" w:hAnsi="Arial"/>
      <w:b/>
      <w:bCs/>
      <w:color w:val="2239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2026-10-01T00:50:14.456Z</dcterms:created>
  <dcterms:modified xsi:type="dcterms:W3CDTF">2026-10-01T00:50:14.456Z</dcterms:modified>
</cp:coreProperties>
</file>

<file path=docProps/custom.xml><?xml version="1.0" encoding="utf-8"?>
<Properties xmlns="http://schemas.openxmlformats.org/officeDocument/2006/custom-properties" xmlns:vt="http://schemas.openxmlformats.org/officeDocument/2006/docPropsVTypes"/>
</file>