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rPr/>
      </w:pPr>
      <w:bookmarkStart w:id="0" w:name="_Toc411429199"/>
      <w:bookmarkEnd w:id="0"/>
      <w:r>
        <w:rPr/>
        <w:t>Redes Multimedia – Prácticas 2019</w:t>
      </w:r>
      <w:bookmarkStart w:id="1" w:name="_GoBack"/>
      <w:bookmarkEnd w:id="1"/>
    </w:p>
    <w:p>
      <w:pPr>
        <w:pStyle w:val="Titular"/>
        <w:rPr/>
      </w:pPr>
      <w:r>
        <w:rPr/>
        <w:t>Práctica 2: Medidas de rendimiento</w:t>
      </w:r>
    </w:p>
    <w:p>
      <w:pPr>
        <w:pStyle w:val="Normal"/>
        <w:rPr/>
      </w:pPr>
      <w:r>
        <w:rPr/>
        <w:t xml:space="preserve">Turno y pareja: </w:t>
      </w:r>
    </w:p>
    <w:p>
      <w:pPr>
        <w:pStyle w:val="Normal"/>
        <w:rPr/>
      </w:pPr>
      <w:r>
        <w:rPr/>
        <w:t>Integrantes:</w:t>
      </w:r>
    </w:p>
    <w:p>
      <w:pPr>
        <w:pStyle w:val="Normal"/>
        <w:rPr>
          <w:highlight w:val="yellow"/>
        </w:rPr>
      </w:pPr>
      <w:r>
        <w:rPr/>
        <w:tab/>
      </w:r>
      <w:r>
        <w:rPr>
          <w:highlight w:val="yellow"/>
        </w:rPr>
        <w:t>Nombre Apellidos</w:t>
      </w:r>
    </w:p>
    <w:p>
      <w:pPr>
        <w:pStyle w:val="Normal"/>
        <w:rPr/>
      </w:pPr>
      <w:r>
        <w:rPr/>
        <w:tab/>
      </w:r>
      <w:r>
        <w:rPr>
          <w:highlight w:val="yellow"/>
        </w:rPr>
        <w:t>Nombre Apellidos</w:t>
      </w:r>
    </w:p>
    <w:p>
      <w:pPr>
        <w:pStyle w:val="Normal"/>
        <w:rPr/>
      </w:pPr>
      <w:r>
        <w:rPr/>
        <w:t xml:space="preserve">Fecha de entrega: </w:t>
      </w:r>
    </w:p>
    <w:sdt>
      <w:sdtPr>
        <w:docPartObj>
          <w:docPartGallery w:val="Table of Contents"/>
          <w:docPartUnique w:val="true"/>
        </w:docPartObj>
        <w:id w:val="1509853339"/>
      </w:sdtPr>
      <w:sdtContent>
        <w:p>
          <w:pPr>
            <w:pStyle w:val="TOCHeading"/>
            <w:rPr/>
          </w:pPr>
          <w:r>
            <w:rPr/>
            <w:t>Contenido</w:t>
          </w:r>
        </w:p>
        <w:p>
          <w:pPr>
            <w:pStyle w:val="Sumario1"/>
            <w:tabs>
              <w:tab w:val="right" w:pos="8504" w:leader="dot"/>
            </w:tabs>
            <w:rPr/>
          </w:pPr>
          <w:r>
            <w:fldChar w:fldCharType="begin"/>
          </w:r>
          <w:r>
            <w:rPr>
              <w:webHidden/>
              <w:rStyle w:val="Enlacedelndice"/>
              <w:vanish w:val="false"/>
            </w:rPr>
            <w:instrText> TOC \z \o "1-3" \u \h</w:instrText>
          </w:r>
          <w:r>
            <w:rPr>
              <w:webHidden/>
              <w:rStyle w:val="Enlacedelndice"/>
              <w:vanish w:val="false"/>
            </w:rPr>
            <w:fldChar w:fldCharType="separate"/>
          </w:r>
          <w:hyperlink w:anchor="__RefHeading___Toc285_732697610">
            <w:r>
              <w:rPr>
                <w:webHidden/>
                <w:rStyle w:val="Enlacedelndice"/>
                <w:vanish w:val="false"/>
              </w:rPr>
              <w:t>1Introducción</w:t>
              <w:tab/>
              <w:t>2</w:t>
            </w:r>
          </w:hyperlink>
        </w:p>
        <w:p>
          <w:pPr>
            <w:pStyle w:val="Sumario1"/>
            <w:tabs>
              <w:tab w:val="right" w:pos="8504" w:leader="dot"/>
            </w:tabs>
            <w:rPr/>
          </w:pPr>
          <w:hyperlink w:anchor="__RefHeading___Toc287_732697610">
            <w:r>
              <w:rPr>
                <w:webHidden/>
                <w:rStyle w:val="Enlacedelndice"/>
                <w:vanish w:val="false"/>
              </w:rPr>
              <w:t>2Realización de la práctica</w:t>
              <w:tab/>
              <w:t>2</w:t>
            </w:r>
          </w:hyperlink>
        </w:p>
        <w:p>
          <w:pPr>
            <w:pStyle w:val="Sumario1"/>
            <w:tabs>
              <w:tab w:val="right" w:pos="8504" w:leader="dot"/>
            </w:tabs>
            <w:rPr/>
          </w:pPr>
          <w:hyperlink w:anchor="__RefHeading___Toc289_732697610">
            <w:r>
              <w:rPr>
                <w:webHidden/>
                <w:rStyle w:val="Enlacedelndice"/>
                <w:vanish w:val="false"/>
              </w:rPr>
              <w:t>3Conclusiones</w:t>
              <w:tab/>
              <w:t>5</w:t>
            </w:r>
          </w:hyperlink>
        </w:p>
      </w:sdtContent>
    </w:sdt>
    <w:p>
      <w:pPr>
        <w:pStyle w:val="Normal"/>
        <w:rPr/>
      </w:pPr>
      <w:r>
        <w:rPr/>
      </w:r>
      <w:r>
        <w:rPr/>
        <w:fldChar w:fldCharType="end"/>
      </w:r>
    </w:p>
    <w:p>
      <w:pPr>
        <w:pStyle w:val="Normal"/>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Ttulo1"/>
        <w:numPr>
          <w:ilvl w:val="0"/>
          <w:numId w:val="2"/>
        </w:numPr>
        <w:rPr/>
      </w:pPr>
      <w:bookmarkStart w:id="2" w:name="__RefHeading___Toc285_732697610"/>
      <w:bookmarkStart w:id="3" w:name="_Toc411430700"/>
      <w:bookmarkEnd w:id="2"/>
      <w:bookmarkEnd w:id="3"/>
      <w:r>
        <w:rPr/>
        <w:t>Introducción</w:t>
      </w:r>
    </w:p>
    <w:p>
      <w:pPr>
        <w:pStyle w:val="Normal"/>
        <w:rPr/>
      </w:pPr>
      <w:r>
        <w:rPr>
          <w:highlight w:val="yellow"/>
        </w:rPr>
        <w:t>Escriba aquí una introducción al trabajo realizado en la práctica</w:t>
      </w:r>
      <w:r>
        <w:rPr/>
        <w:t>.</w:t>
      </w:r>
    </w:p>
    <w:p>
      <w:pPr>
        <w:pStyle w:val="Ttulo1"/>
        <w:numPr>
          <w:ilvl w:val="0"/>
          <w:numId w:val="2"/>
        </w:numPr>
        <w:rPr/>
      </w:pPr>
      <w:bookmarkStart w:id="4" w:name="__RefHeading___Toc287_732697610"/>
      <w:bookmarkStart w:id="5" w:name="_Toc4114291991"/>
      <w:bookmarkStart w:id="6" w:name="_Toc411430701"/>
      <w:bookmarkStart w:id="7" w:name="_Toc411429201"/>
      <w:bookmarkEnd w:id="4"/>
      <w:bookmarkEnd w:id="5"/>
      <w:bookmarkEnd w:id="6"/>
      <w:bookmarkEnd w:id="7"/>
      <w:r>
        <w:rPr/>
        <w:t>Realización de la práctica</w:t>
      </w:r>
    </w:p>
    <w:p>
      <w:pPr>
        <w:pStyle w:val="Ttulo2"/>
        <w:numPr>
          <w:ilvl w:val="0"/>
          <w:numId w:val="0"/>
        </w:numPr>
        <w:ind w:left="576" w:hanging="0"/>
        <w:rPr/>
      </w:pPr>
      <w:r>
        <w:rPr/>
      </w:r>
      <w:bookmarkStart w:id="8" w:name="_Ref348344865"/>
      <w:bookmarkStart w:id="9" w:name="_Toc410375182"/>
      <w:bookmarkStart w:id="10" w:name="_Toc411429202"/>
      <w:bookmarkStart w:id="11" w:name="_Toc411430702"/>
      <w:bookmarkStart w:id="12" w:name="_Ref348344865"/>
      <w:bookmarkStart w:id="13" w:name="_Toc410375182"/>
      <w:bookmarkStart w:id="14" w:name="_Toc411429202"/>
      <w:bookmarkStart w:id="15" w:name="_Toc411430702"/>
      <w:bookmarkEnd w:id="12"/>
      <w:bookmarkEnd w:id="13"/>
      <w:bookmarkEnd w:id="14"/>
      <w:bookmarkEnd w:id="15"/>
    </w:p>
    <w:p>
      <w:pPr>
        <w:pStyle w:val="ListParagraph"/>
        <w:numPr>
          <w:ilvl w:val="0"/>
          <w:numId w:val="3"/>
        </w:numPr>
        <w:rPr/>
      </w:pPr>
      <w:r>
        <w:rPr/>
        <w:t>Se entrega un programa que envía trenes de paquetes en los que se puede configurar la longitud del tren y la longitud del campo de datos de los paquetes por encima del nivel de aplicación. Los paquetes poseen un campo de número de secuencia y otro de marca de tiempos. Para ello se utiliza la cabecera típica de RTP, según se proponía en la práctica 0. Los parámetros se entrarán por línea de comandos siguiendo la sintaxis:</w:t>
      </w:r>
    </w:p>
    <w:p>
      <w:pPr>
        <w:pStyle w:val="ListParagraph"/>
        <w:ind w:left="360" w:hanging="0"/>
        <w:rPr>
          <w:i/>
          <w:i/>
        </w:rPr>
      </w:pPr>
      <w:r>
        <w:rPr>
          <w:i/>
        </w:rPr>
        <w:t>clienteTren.py ip_destino puerto_destino longitud_tren longitud_datos</w:t>
      </w:r>
    </w:p>
    <w:p>
      <w:pPr>
        <w:pStyle w:val="ListParagraph"/>
        <w:ind w:left="360" w:hanging="0"/>
        <w:rPr/>
      </w:pPr>
      <w:r>
        <w:rPr/>
        <w:t xml:space="preserve">Estudie en detalle el funcionamiento del programa, pues deberá modificarlo en un apartado posterior. ¿Qué valor de marca de tiempo se envía? ¿Qué relación tiene con el tiempo </w:t>
      </w:r>
      <w:r>
        <w:rPr>
          <w:i/>
        </w:rPr>
        <w:t>epoch</w:t>
      </w:r>
      <w:r>
        <w:rPr/>
        <w:t xml:space="preserve"> (segundos desde 1970)?</w:t>
      </w:r>
    </w:p>
    <w:tbl>
      <w:tblPr>
        <w:tblStyle w:val="Tablaconcuadrcula"/>
        <w:tblW w:w="8494" w:type="dxa"/>
        <w:jc w:val="left"/>
        <w:tblInd w:w="-10" w:type="dxa"/>
        <w:tblCellMar>
          <w:top w:w="0" w:type="dxa"/>
          <w:left w:w="9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highlight w:val="yellow"/>
              </w:rPr>
              <w:t>Escriba aquí comentarios respecto del código estudiado.</w:t>
            </w:r>
          </w:p>
          <w:p>
            <w:pPr>
              <w:pStyle w:val="Normal"/>
              <w:spacing w:lineRule="auto" w:line="240" w:before="0" w:after="0"/>
              <w:rPr/>
            </w:pPr>
            <w:r>
              <w:rPr/>
            </w:r>
          </w:p>
          <w:p>
            <w:pPr>
              <w:pStyle w:val="Normal"/>
              <w:spacing w:lineRule="auto" w:line="240" w:before="0" w:after="0"/>
              <w:rPr/>
            </w:pPr>
            <w:r>
              <w:rPr/>
            </w:r>
          </w:p>
        </w:tc>
      </w:tr>
      <w:tr>
        <w:trPr/>
        <w:tc>
          <w:tcPr>
            <w:tcW w:w="8494" w:type="dxa"/>
            <w:tcBorders/>
            <w:shd w:fill="auto" w:val="clear"/>
          </w:tcPr>
          <w:p>
            <w:pPr>
              <w:pStyle w:val="Normal"/>
              <w:spacing w:lineRule="auto" w:line="240" w:before="0" w:after="0"/>
              <w:rPr>
                <w:highlight w:val="yellow"/>
              </w:rPr>
            </w:pPr>
            <w:r>
              <w:rPr>
                <w:highlight w:val="yellow"/>
              </w:rPr>
              <w:t>Escriba aquí cómo se construye la marca de tiempo que se envía.</w:t>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tc>
      </w:tr>
      <w:tr>
        <w:trPr/>
        <w:tc>
          <w:tcPr>
            <w:tcW w:w="8494" w:type="dxa"/>
            <w:tcBorders/>
            <w:shd w:fill="auto" w:val="clear"/>
          </w:tcPr>
          <w:p>
            <w:pPr>
              <w:pStyle w:val="Normal"/>
              <w:spacing w:lineRule="auto" w:line="240" w:before="0" w:after="0"/>
              <w:rPr>
                <w:highlight w:val="yellow"/>
              </w:rPr>
            </w:pPr>
            <w:r>
              <w:rPr>
                <w:highlight w:val="yellow"/>
              </w:rPr>
              <w:t>Escriba aquí la relación entre la marca de tiempo y los segundos desde 1970.</w:t>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tc>
      </w:tr>
    </w:tbl>
    <w:p>
      <w:pPr>
        <w:pStyle w:val="ListParagraph"/>
        <w:ind w:left="360" w:hanging="0"/>
        <w:rPr/>
      </w:pPr>
      <w:r>
        <w:rPr/>
      </w:r>
    </w:p>
    <w:p>
      <w:pPr>
        <w:pStyle w:val="ListParagraph"/>
        <w:numPr>
          <w:ilvl w:val="0"/>
          <w:numId w:val="3"/>
        </w:numPr>
        <w:rPr/>
      </w:pPr>
      <w:r>
        <w:rPr/>
        <w:t xml:space="preserve">Se debe completar un programa que recibe los trenes de paquetes, de forma que mida y visualice por pantalla anchos de banda (instantáneos, máximo, medio y mínimo), retardos en un sentido (instantáneos, máximo, medio y mínimo), variación del retardo, y pérdida de paquetes (%).Tenga en cuenta que los paquetes que se envíen a la red contendrán igualmente las cabeceras de las capas inferiores (RTP, UDP, IP, Ethernet) según se mostraba en la </w:t>
      </w:r>
      <w:r>
        <w:rPr/>
        <w:fldChar w:fldCharType="begin"/>
      </w:r>
      <w:r>
        <w:rPr/>
        <w:instrText> REF _Ref411415222 \h </w:instrText>
      </w:r>
      <w:r>
        <w:rPr/>
        <w:fldChar w:fldCharType="separate"/>
      </w:r>
      <w:r>
        <w:rPr/>
        <w:t>Error: no se encontró el origen de la referencia</w:t>
      </w:r>
      <w:r>
        <w:rPr/>
        <w:fldChar w:fldCharType="end"/>
      </w:r>
      <w:r>
        <w:rPr/>
        <w:t>, por lo que dicha longitud también debe ser tenida en cuenta a la hora de medir el ancho de banda. En el caso de utilizar la interfaz local no habrá cabecera Ethernet. El servidor deberá ejecutarse según la siguiente sintaxis:</w:t>
      </w:r>
    </w:p>
    <w:p>
      <w:pPr>
        <w:pStyle w:val="ListParagraph"/>
        <w:ind w:left="360" w:hanging="0"/>
        <w:rPr>
          <w:i/>
          <w:i/>
        </w:rPr>
      </w:pPr>
      <w:r>
        <w:rPr>
          <w:i/>
        </w:rPr>
        <w:t>servidorTren.py ip_escucha puerto_escucha</w:t>
      </w:r>
    </w:p>
    <w:tbl>
      <w:tblPr>
        <w:tblStyle w:val="Tablaconcuadrcula"/>
        <w:tblW w:w="8494" w:type="dxa"/>
        <w:jc w:val="left"/>
        <w:tblInd w:w="-10" w:type="dxa"/>
        <w:tblCellMar>
          <w:top w:w="0" w:type="dxa"/>
          <w:left w:w="9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highlight w:val="yellow"/>
              </w:rPr>
              <w:t>Escriba aquí comentarios respecto del código realizado y cómo realiza las distintas medidas solicitadas.</w:t>
            </w:r>
          </w:p>
          <w:p>
            <w:pPr>
              <w:pStyle w:val="Normal"/>
              <w:spacing w:lineRule="auto" w:line="240" w:before="0" w:after="0"/>
              <w:rPr/>
            </w:pPr>
            <w:r>
              <w:rPr/>
            </w:r>
          </w:p>
          <w:p>
            <w:pPr>
              <w:pStyle w:val="Normal"/>
              <w:spacing w:lineRule="auto" w:line="240" w:before="0" w:after="0"/>
              <w:rPr/>
            </w:pPr>
            <w:r>
              <w:rPr/>
            </w:r>
          </w:p>
        </w:tc>
      </w:tr>
    </w:tbl>
    <w:p>
      <w:pPr>
        <w:pStyle w:val="Normal"/>
        <w:rPr>
          <w:i/>
          <w:i/>
        </w:rPr>
      </w:pPr>
      <w:r>
        <w:rPr>
          <w:i/>
        </w:rPr>
      </w:r>
    </w:p>
    <w:p>
      <w:pPr>
        <w:pStyle w:val="ListParagraph"/>
        <w:numPr>
          <w:ilvl w:val="0"/>
          <w:numId w:val="3"/>
        </w:numPr>
        <w:rPr/>
      </w:pPr>
      <w:r>
        <w:rPr/>
        <w:t>Pruebe ambos programas en la interfaz local y entre dos equipos conectados en la red de área local. Realice varias medidas variando la longitud del tren y la longitud de los paquetes. Responda a las siguientes preguntas. Utilice el Wireshark en el receptor para ver los paquetes del tren y contrastar las respuestas.</w:t>
      </w:r>
    </w:p>
    <w:tbl>
      <w:tblPr>
        <w:tblStyle w:val="Tablaconcuadrcula"/>
        <w:tblW w:w="8494" w:type="dxa"/>
        <w:jc w:val="left"/>
        <w:tblInd w:w="-10" w:type="dxa"/>
        <w:tblCellMar>
          <w:top w:w="0" w:type="dxa"/>
          <w:left w:w="9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highlight w:val="yellow"/>
              </w:rPr>
              <w:t>Escriba aquí la configuración realizada para enviar y recibir los trenes de paquetes en ambos esquemas de trabajo (interfaz local y equipos en LAN).</w:t>
            </w:r>
          </w:p>
          <w:p>
            <w:pPr>
              <w:pStyle w:val="Normal"/>
              <w:spacing w:lineRule="auto" w:line="240" w:before="0" w:after="0"/>
              <w:rPr/>
            </w:pPr>
            <w:r>
              <w:rPr/>
            </w:r>
          </w:p>
        </w:tc>
      </w:tr>
    </w:tbl>
    <w:p>
      <w:pPr>
        <w:pStyle w:val="ListParagraph"/>
        <w:numPr>
          <w:ilvl w:val="1"/>
          <w:numId w:val="3"/>
        </w:numPr>
        <w:rPr/>
      </w:pPr>
      <w:r>
        <w:rPr/>
        <w:t>¿Qué valores ha empleado para contabilizar las distintas cabeceras?</w:t>
      </w:r>
    </w:p>
    <w:tbl>
      <w:tblPr>
        <w:tblStyle w:val="Tablaconcuadrcula"/>
        <w:tblW w:w="8494" w:type="dxa"/>
        <w:jc w:val="left"/>
        <w:tblInd w:w="-10" w:type="dxa"/>
        <w:tblCellMar>
          <w:top w:w="0" w:type="dxa"/>
          <w:left w:w="9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highlight w:val="yellow"/>
              </w:rPr>
              <w:t>Escriba aquí la respuesta.</w:t>
            </w:r>
          </w:p>
          <w:p>
            <w:pPr>
              <w:pStyle w:val="Normal"/>
              <w:spacing w:lineRule="auto" w:line="240" w:before="0" w:after="0"/>
              <w:rPr/>
            </w:pPr>
            <w:r>
              <w:rPr/>
            </w:r>
          </w:p>
        </w:tc>
      </w:tr>
    </w:tbl>
    <w:p>
      <w:pPr>
        <w:pStyle w:val="ListParagraph"/>
        <w:numPr>
          <w:ilvl w:val="1"/>
          <w:numId w:val="3"/>
        </w:numPr>
        <w:rPr/>
      </w:pPr>
      <w:r>
        <w:rPr/>
        <w:t>¿Cuál es la longitud mínima de una de las tramas que se envían? ¿Por qué?</w:t>
      </w:r>
    </w:p>
    <w:tbl>
      <w:tblPr>
        <w:tblStyle w:val="Tablaconcuadrcula"/>
        <w:tblW w:w="8494" w:type="dxa"/>
        <w:jc w:val="left"/>
        <w:tblInd w:w="-10" w:type="dxa"/>
        <w:tblCellMar>
          <w:top w:w="0" w:type="dxa"/>
          <w:left w:w="9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highlight w:val="yellow"/>
              </w:rPr>
              <w:t>Escriba aquí la respuesta. Compruebe el resultado capturando el tráfico en el receptor remoto, y en caso de discrepancia explique a qué se debe.</w:t>
            </w:r>
          </w:p>
          <w:p>
            <w:pPr>
              <w:pStyle w:val="Normal"/>
              <w:spacing w:lineRule="auto" w:line="240" w:before="0" w:after="0"/>
              <w:rPr/>
            </w:pPr>
            <w:r>
              <w:rPr/>
            </w:r>
          </w:p>
        </w:tc>
      </w:tr>
    </w:tbl>
    <w:p>
      <w:pPr>
        <w:pStyle w:val="ListParagraph"/>
        <w:numPr>
          <w:ilvl w:val="1"/>
          <w:numId w:val="3"/>
        </w:numPr>
        <w:rPr/>
      </w:pPr>
      <w:r>
        <w:rPr/>
        <w:t>¿Cuál es la longitud máxima de datos que tiene sentido utilizar? ¿Por qué?</w:t>
      </w:r>
    </w:p>
    <w:tbl>
      <w:tblPr>
        <w:tblStyle w:val="Tablaconcuadrcula"/>
        <w:tblW w:w="8494" w:type="dxa"/>
        <w:jc w:val="left"/>
        <w:tblInd w:w="-10" w:type="dxa"/>
        <w:tblCellMar>
          <w:top w:w="0" w:type="dxa"/>
          <w:left w:w="9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highlight w:val="yellow"/>
              </w:rPr>
              <w:t>Escriba aquí la respuesta. En caso de ser necesario para llegar a una explicación convincente, modifique el código de clienteTren y compruebe qué ocurre con tamaños de trama mayores.</w:t>
            </w:r>
          </w:p>
          <w:p>
            <w:pPr>
              <w:pStyle w:val="Normal"/>
              <w:spacing w:lineRule="auto" w:line="240" w:before="0" w:after="0"/>
              <w:rPr/>
            </w:pPr>
            <w:r>
              <w:rPr/>
            </w:r>
          </w:p>
        </w:tc>
      </w:tr>
    </w:tbl>
    <w:p>
      <w:pPr>
        <w:pStyle w:val="ListParagraph"/>
        <w:numPr>
          <w:ilvl w:val="1"/>
          <w:numId w:val="3"/>
        </w:numPr>
        <w:rPr/>
      </w:pPr>
      <w:r>
        <w:rPr/>
        <w:t>¿Con qué longitudes de tren y datos se consiguen mejores resultados? ¿Por qué?</w:t>
      </w:r>
    </w:p>
    <w:tbl>
      <w:tblPr>
        <w:tblStyle w:val="Tablaconcuadrcula"/>
        <w:tblW w:w="8494" w:type="dxa"/>
        <w:jc w:val="left"/>
        <w:tblInd w:w="-10" w:type="dxa"/>
        <w:tblCellMar>
          <w:top w:w="0" w:type="dxa"/>
          <w:left w:w="9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highlight w:val="yellow"/>
              </w:rPr>
            </w:pPr>
            <w:r>
              <w:rPr>
                <w:highlight w:val="yellow"/>
              </w:rPr>
              <w:t>Escriba aquí la respuesta. Haga pruebas con distintos valores para medir la velocidad de transferencia. El comando ethtool permite ver la velocidad a la que está negociado el enlace, para comparar resultados.</w:t>
            </w:r>
          </w:p>
          <w:p>
            <w:pPr>
              <w:pStyle w:val="Normal"/>
              <w:spacing w:lineRule="auto" w:line="240" w:before="0" w:after="0"/>
              <w:rPr/>
            </w:pPr>
            <w:r>
              <w:rPr>
                <w:highlight w:val="yellow"/>
              </w:rPr>
              <w:t>Dependiendo del parámetro a medir, puede ocurrir que se necesario utilizar longitudes distintas llegado el caso.</w:t>
            </w:r>
          </w:p>
          <w:p>
            <w:pPr>
              <w:pStyle w:val="Normal"/>
              <w:spacing w:lineRule="auto" w:line="240" w:before="0" w:after="0"/>
              <w:rPr/>
            </w:pPr>
            <w:r>
              <w:rPr/>
            </w:r>
          </w:p>
        </w:tc>
      </w:tr>
    </w:tbl>
    <w:p>
      <w:pPr>
        <w:pStyle w:val="ListParagraph"/>
        <w:ind w:left="360" w:hanging="0"/>
        <w:rPr/>
      </w:pPr>
      <w:r>
        <w:rPr/>
      </w:r>
    </w:p>
    <w:p>
      <w:pPr>
        <w:pStyle w:val="ListParagraph"/>
        <w:numPr>
          <w:ilvl w:val="0"/>
          <w:numId w:val="3"/>
        </w:numPr>
        <w:rPr/>
      </w:pPr>
      <w:r>
        <w:rPr/>
        <w:t xml:space="preserve">Para poder medir adecuadamente retardos y </w:t>
      </w:r>
      <w:r>
        <w:rPr>
          <w:i/>
        </w:rPr>
        <w:t>jitter</w:t>
      </w:r>
      <w:r>
        <w:rPr/>
        <w:t xml:space="preserve"> es necesario que el cliente envíe a una tasa inferior a la de la red, de forma que se elimine el efecto del cuello de botella sobre el tren. Modifique el programa proporcionado en el apartado </w:t>
      </w:r>
      <w:r>
        <w:rPr/>
        <w:fldChar w:fldCharType="begin"/>
      </w:r>
      <w:r>
        <w:rPr/>
        <w:instrText> REF _Ref348344865 \r \h </w:instrText>
      </w:r>
      <w:r>
        <w:rPr/>
        <w:fldChar w:fldCharType="separate"/>
      </w:r>
      <w:r>
        <w:rPr/>
      </w:r>
      <w:r>
        <w:rPr/>
        <w:fldChar w:fldCharType="end"/>
      </w:r>
      <w:r>
        <w:rPr/>
        <w:t xml:space="preserve"> para que permita configurar también la tasa de envío de los paquetes. Su sintaxis será:</w:t>
      </w:r>
    </w:p>
    <w:p>
      <w:pPr>
        <w:pStyle w:val="ListParagraph"/>
        <w:ind w:left="360" w:hanging="0"/>
        <w:rPr>
          <w:i/>
          <w:i/>
        </w:rPr>
      </w:pPr>
      <w:r>
        <w:rPr>
          <w:i/>
        </w:rPr>
        <w:t>clienteTren2.py ip_destino puerto_destino longitud_tren longitud_datos [tasa_binaria]</w:t>
      </w:r>
    </w:p>
    <w:p>
      <w:pPr>
        <w:pStyle w:val="ListParagraph"/>
        <w:ind w:left="360" w:hanging="0"/>
        <w:rPr/>
      </w:pPr>
      <w:r>
        <w:rPr/>
        <w:t xml:space="preserve">Si no se indica la tasa binaria, se transmitirá a la tasa máxima posible, lo que permite hacer una estimación del ancho de banda, que se puede utilizar posteriormente para hacer adecuadamente las medidas de retardo y </w:t>
      </w:r>
      <w:r>
        <w:rPr>
          <w:i/>
        </w:rPr>
        <w:t>jitter</w:t>
      </w:r>
      <w:r>
        <w:rPr/>
        <w:t>.</w:t>
      </w:r>
    </w:p>
    <w:tbl>
      <w:tblPr>
        <w:tblStyle w:val="Tablaconcuadrcula"/>
        <w:tblW w:w="8494" w:type="dxa"/>
        <w:jc w:val="left"/>
        <w:tblInd w:w="-10" w:type="dxa"/>
        <w:tblCellMar>
          <w:top w:w="0" w:type="dxa"/>
          <w:left w:w="9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highlight w:val="yellow"/>
              </w:rPr>
              <w:t>Explique aquí el método empleado para limitar la tasa de transferencia del tren de paquetes.</w:t>
            </w:r>
          </w:p>
          <w:p>
            <w:pPr>
              <w:pStyle w:val="Normal"/>
              <w:spacing w:lineRule="auto" w:line="240" w:before="0" w:after="0"/>
              <w:rPr/>
            </w:pPr>
            <w:r>
              <w:rPr/>
            </w:r>
          </w:p>
        </w:tc>
      </w:tr>
    </w:tbl>
    <w:p>
      <w:pPr>
        <w:pStyle w:val="ListParagraph"/>
        <w:ind w:left="360" w:hanging="0"/>
        <w:rPr/>
      </w:pPr>
      <w:r>
        <w:rPr/>
      </w:r>
    </w:p>
    <w:p>
      <w:pPr>
        <w:pStyle w:val="ListParagraph"/>
        <w:numPr>
          <w:ilvl w:val="0"/>
          <w:numId w:val="3"/>
        </w:numPr>
        <w:rPr/>
      </w:pPr>
      <w:r>
        <w:rPr/>
        <w:t>Realice medidas con clienteTren2.py y servidorTren.py, utilizando el emulador compilado que se puede descargar de Moodle. El emulador es un programa que simula retardos variables, pérdidas (similar al realizado en la práctica 1) pero también anchos de banda. Dicho ejecutable tiene la siguiente sintaxis:</w:t>
      </w:r>
    </w:p>
    <w:p>
      <w:pPr>
        <w:pStyle w:val="ListParagraph"/>
        <w:ind w:left="360" w:hanging="0"/>
        <w:rPr>
          <w:i/>
          <w:i/>
        </w:rPr>
      </w:pPr>
      <w:r>
        <w:rPr>
          <w:i/>
        </w:rPr>
        <w:t>emulador ip_escucha puerto_escucha ip_destino puerto_destino DNI</w:t>
      </w:r>
    </w:p>
    <w:p>
      <w:pPr>
        <w:pStyle w:val="ListParagraph"/>
        <w:ind w:left="360" w:hanging="0"/>
        <w:rPr/>
      </w:pPr>
      <w:r>
        <w:rPr/>
        <w:t xml:space="preserve">donde ip_esucha y puerto_escucha son la dirección IP y puerto donde escucha el emulador, ip_destino y puerto_destino son la dirección IP y puerto a donde el emulador reenvía lo que recibe, y DNI es un número de DNI (sin letra). El programa, siempre en base al número del DNI que se proporcione, impone una combinación de ancho de banda, retardo, variación del retardo y porcentaje de pérdida de paquetes único. </w:t>
      </w:r>
    </w:p>
    <w:p>
      <w:pPr>
        <w:pStyle w:val="ListParagraph"/>
        <w:ind w:left="360" w:hanging="0"/>
        <w:rPr/>
      </w:pPr>
      <w:r>
        <w:rPr/>
        <w:t xml:space="preserve">Deduzca a partir de las medidas realizadas qué valores de ancho de banda, retardo, variación del retardo y pérdidas se están aplicando en el emulador para el DNI de ambos miembros de la pareja. </w:t>
      </w:r>
      <w:r>
        <w:rPr>
          <w:b/>
        </w:rPr>
        <w:t>Tenga en cuenta que para medir los retardos de forma correcta es necesario limitar la tasa de transferencia a una inferior o igual a la medida.</w:t>
      </w:r>
    </w:p>
    <w:tbl>
      <w:tblPr>
        <w:tblStyle w:val="Tablaconcuadrcula"/>
        <w:tblW w:w="8134" w:type="dxa"/>
        <w:jc w:val="left"/>
        <w:tblInd w:w="350" w:type="dxa"/>
        <w:tblCellMar>
          <w:top w:w="0" w:type="dxa"/>
          <w:left w:w="98" w:type="dxa"/>
          <w:bottom w:w="0" w:type="dxa"/>
          <w:right w:w="108" w:type="dxa"/>
        </w:tblCellMar>
        <w:tblLook w:noVBand="1" w:val="04a0" w:noHBand="0" w:lastColumn="0" w:firstColumn="1" w:lastRow="0" w:firstRow="1"/>
      </w:tblPr>
      <w:tblGrid>
        <w:gridCol w:w="8134"/>
      </w:tblGrid>
      <w:tr>
        <w:trPr/>
        <w:tc>
          <w:tcPr>
            <w:tcW w:w="8134" w:type="dxa"/>
            <w:tcBorders/>
            <w:shd w:fill="auto" w:val="clear"/>
          </w:tcPr>
          <w:p>
            <w:pPr>
              <w:pStyle w:val="ListParagraph"/>
              <w:spacing w:lineRule="auto" w:line="240" w:before="0" w:after="0"/>
              <w:ind w:left="0" w:hanging="0"/>
              <w:contextualSpacing/>
              <w:rPr>
                <w:highlight w:val="yellow"/>
              </w:rPr>
            </w:pPr>
            <w:r>
              <w:rPr>
                <w:highlight w:val="yellow"/>
              </w:rPr>
              <w:t>Explique cómo ha realizado las medidas en cada caso.</w:t>
            </w:r>
          </w:p>
          <w:p>
            <w:pPr>
              <w:pStyle w:val="ListParagraph"/>
              <w:spacing w:lineRule="auto" w:line="240" w:before="0" w:after="0"/>
              <w:ind w:left="0" w:hanging="0"/>
              <w:contextualSpacing/>
              <w:rPr>
                <w:highlight w:val="yellow"/>
              </w:rPr>
            </w:pPr>
            <w:r>
              <w:rPr>
                <w:highlight w:val="yellow"/>
              </w:rPr>
            </w:r>
          </w:p>
        </w:tc>
      </w:tr>
      <w:tr>
        <w:trPr/>
        <w:tc>
          <w:tcPr>
            <w:tcW w:w="8134" w:type="dxa"/>
            <w:tcBorders/>
            <w:shd w:fill="auto" w:val="clear"/>
          </w:tcPr>
          <w:p>
            <w:pPr>
              <w:pStyle w:val="ListParagraph"/>
              <w:spacing w:lineRule="auto" w:line="240" w:before="0" w:after="0"/>
              <w:ind w:left="0" w:hanging="0"/>
              <w:contextualSpacing/>
              <w:rPr>
                <w:highlight w:val="yellow"/>
              </w:rPr>
            </w:pPr>
            <w:r>
              <w:rPr>
                <w:highlight w:val="yellow"/>
              </w:rPr>
              <w:t>DNI 1: número de DNI.</w:t>
            </w:r>
          </w:p>
          <w:p>
            <w:pPr>
              <w:pStyle w:val="ListParagraph"/>
              <w:spacing w:lineRule="auto" w:line="240" w:before="0" w:after="0"/>
              <w:ind w:left="0" w:hanging="0"/>
              <w:contextualSpacing/>
              <w:rPr>
                <w:highlight w:val="yellow"/>
              </w:rPr>
            </w:pPr>
            <w:r>
              <w:rPr>
                <w:highlight w:val="yellow"/>
              </w:rPr>
              <w:t>Ancho de banda estimado.</w:t>
            </w:r>
          </w:p>
          <w:p>
            <w:pPr>
              <w:pStyle w:val="ListParagraph"/>
              <w:spacing w:lineRule="auto" w:line="240" w:before="0" w:after="0"/>
              <w:ind w:left="0" w:hanging="0"/>
              <w:contextualSpacing/>
              <w:rPr>
                <w:highlight w:val="yellow"/>
              </w:rPr>
            </w:pPr>
            <w:r>
              <w:rPr>
                <w:highlight w:val="yellow"/>
              </w:rPr>
              <w:t>Retardo estimado.</w:t>
            </w:r>
          </w:p>
          <w:p>
            <w:pPr>
              <w:pStyle w:val="ListParagraph"/>
              <w:spacing w:lineRule="auto" w:line="240" w:before="0" w:after="0"/>
              <w:ind w:left="0" w:hanging="0"/>
              <w:contextualSpacing/>
              <w:rPr>
                <w:highlight w:val="yellow"/>
              </w:rPr>
            </w:pPr>
            <w:r>
              <w:rPr>
                <w:highlight w:val="yellow"/>
              </w:rPr>
              <w:t>Desviación estándar del retardo.</w:t>
            </w:r>
          </w:p>
          <w:p>
            <w:pPr>
              <w:pStyle w:val="ListParagraph"/>
              <w:spacing w:lineRule="auto" w:line="240" w:before="0" w:after="0"/>
              <w:ind w:left="0" w:hanging="0"/>
              <w:contextualSpacing/>
              <w:rPr>
                <w:highlight w:val="yellow"/>
              </w:rPr>
            </w:pPr>
            <w:r>
              <w:rPr>
                <w:highlight w:val="yellow"/>
              </w:rPr>
              <w:t>Porcentaje de pérdidas.</w:t>
            </w:r>
          </w:p>
        </w:tc>
      </w:tr>
      <w:tr>
        <w:trPr/>
        <w:tc>
          <w:tcPr>
            <w:tcW w:w="8134" w:type="dxa"/>
            <w:tcBorders/>
            <w:shd w:fill="auto" w:val="clear"/>
          </w:tcPr>
          <w:p>
            <w:pPr>
              <w:pStyle w:val="ListParagraph"/>
              <w:spacing w:lineRule="auto" w:line="240" w:before="0" w:after="0"/>
              <w:ind w:left="0" w:hanging="0"/>
              <w:contextualSpacing/>
              <w:rPr>
                <w:highlight w:val="yellow"/>
              </w:rPr>
            </w:pPr>
            <w:r>
              <w:rPr>
                <w:highlight w:val="yellow"/>
              </w:rPr>
              <w:t>DNI 2: número de DNI.</w:t>
            </w:r>
          </w:p>
          <w:p>
            <w:pPr>
              <w:pStyle w:val="ListParagraph"/>
              <w:spacing w:lineRule="auto" w:line="240" w:before="0" w:after="0"/>
              <w:ind w:left="0" w:hanging="0"/>
              <w:contextualSpacing/>
              <w:rPr>
                <w:highlight w:val="yellow"/>
              </w:rPr>
            </w:pPr>
            <w:r>
              <w:rPr>
                <w:highlight w:val="yellow"/>
              </w:rPr>
              <w:t>Ancho de banda estimado.</w:t>
            </w:r>
          </w:p>
          <w:p>
            <w:pPr>
              <w:pStyle w:val="ListParagraph"/>
              <w:spacing w:lineRule="auto" w:line="240" w:before="0" w:after="0"/>
              <w:ind w:left="0" w:hanging="0"/>
              <w:contextualSpacing/>
              <w:rPr>
                <w:highlight w:val="yellow"/>
              </w:rPr>
            </w:pPr>
            <w:r>
              <w:rPr>
                <w:highlight w:val="yellow"/>
              </w:rPr>
              <w:t>Retardo estimado.</w:t>
            </w:r>
          </w:p>
          <w:p>
            <w:pPr>
              <w:pStyle w:val="ListParagraph"/>
              <w:spacing w:lineRule="auto" w:line="240" w:before="0" w:after="0"/>
              <w:ind w:left="0" w:hanging="0"/>
              <w:contextualSpacing/>
              <w:rPr>
                <w:highlight w:val="yellow"/>
              </w:rPr>
            </w:pPr>
            <w:r>
              <w:rPr>
                <w:highlight w:val="yellow"/>
              </w:rPr>
              <w:t>Desviación estándar del retardo.</w:t>
            </w:r>
          </w:p>
          <w:p>
            <w:pPr>
              <w:pStyle w:val="ListParagraph"/>
              <w:spacing w:lineRule="auto" w:line="240" w:before="0" w:after="0"/>
              <w:ind w:left="0" w:hanging="0"/>
              <w:contextualSpacing/>
              <w:rPr>
                <w:highlight w:val="yellow"/>
              </w:rPr>
            </w:pPr>
            <w:r>
              <w:rPr>
                <w:highlight w:val="yellow"/>
              </w:rPr>
              <w:t>Porcentaje de pérdidas.</w:t>
            </w:r>
          </w:p>
        </w:tc>
      </w:tr>
    </w:tbl>
    <w:p>
      <w:pPr>
        <w:pStyle w:val="ListParagraph"/>
        <w:ind w:left="360" w:hanging="0"/>
        <w:rPr/>
      </w:pPr>
      <w:r>
        <w:rPr/>
      </w:r>
    </w:p>
    <w:p>
      <w:pPr>
        <w:pStyle w:val="ListParagraph"/>
        <w:numPr>
          <w:ilvl w:val="0"/>
          <w:numId w:val="3"/>
        </w:numPr>
        <w:rPr/>
      </w:pPr>
      <w:bookmarkStart w:id="16" w:name="_Ref348013058"/>
      <w:bookmarkEnd w:id="16"/>
      <w:r>
        <w:rPr/>
        <w:t xml:space="preserve">Capture el tráfico de las medidas realizadas con el emulador y analice con Wireshark el tráfico recibido y a partir de los tiempos de llegada, marcas de tiempo y longitudes, </w:t>
      </w:r>
      <w:r>
        <w:rPr/>
        <w:t xml:space="preserve">calcule los valores de ancho de banda, retardo y jitter y </w:t>
      </w:r>
      <w:r>
        <w:rPr/>
        <w:t>compare estos datos con los resultados obtenidos con su programa.</w:t>
      </w:r>
    </w:p>
    <w:tbl>
      <w:tblPr>
        <w:tblStyle w:val="Tablaconcuadrcula"/>
        <w:tblW w:w="8134" w:type="dxa"/>
        <w:jc w:val="left"/>
        <w:tblInd w:w="350" w:type="dxa"/>
        <w:tblCellMar>
          <w:top w:w="0" w:type="dxa"/>
          <w:left w:w="98" w:type="dxa"/>
          <w:bottom w:w="0" w:type="dxa"/>
          <w:right w:w="108" w:type="dxa"/>
        </w:tblCellMar>
        <w:tblLook w:noVBand="1" w:val="04a0" w:noHBand="0" w:lastColumn="0" w:firstColumn="1" w:lastRow="0" w:firstRow="1"/>
      </w:tblPr>
      <w:tblGrid>
        <w:gridCol w:w="8134"/>
      </w:tblGrid>
      <w:tr>
        <w:trPr/>
        <w:tc>
          <w:tcPr>
            <w:tcW w:w="8134" w:type="dxa"/>
            <w:tcBorders/>
            <w:shd w:fill="auto" w:val="clear"/>
          </w:tcPr>
          <w:p>
            <w:pPr>
              <w:pStyle w:val="ListParagraph"/>
              <w:spacing w:lineRule="auto" w:line="240" w:before="0" w:after="0"/>
              <w:ind w:left="0" w:hanging="0"/>
              <w:contextualSpacing/>
              <w:rPr>
                <w:highlight w:val="yellow"/>
              </w:rPr>
            </w:pPr>
            <w:r>
              <w:rPr>
                <w:highlight w:val="yellow"/>
              </w:rPr>
              <w:t>Explique cómo ha realizado las medidas en cada caso.</w:t>
            </w:r>
          </w:p>
          <w:p>
            <w:pPr>
              <w:pStyle w:val="ListParagraph"/>
              <w:spacing w:lineRule="auto" w:line="240" w:before="0" w:after="0"/>
              <w:ind w:left="0" w:hanging="0"/>
              <w:contextualSpacing/>
              <w:rPr>
                <w:highlight w:val="yellow"/>
              </w:rPr>
            </w:pPr>
            <w:r>
              <w:rPr>
                <w:highlight w:val="yellow"/>
              </w:rPr>
            </w:r>
          </w:p>
        </w:tc>
      </w:tr>
      <w:tr>
        <w:trPr/>
        <w:tc>
          <w:tcPr>
            <w:tcW w:w="8134" w:type="dxa"/>
            <w:tcBorders/>
            <w:shd w:fill="auto" w:val="clear"/>
          </w:tcPr>
          <w:p>
            <w:pPr>
              <w:pStyle w:val="ListParagraph"/>
              <w:spacing w:lineRule="auto" w:line="240" w:before="0" w:after="0"/>
              <w:ind w:left="0" w:hanging="0"/>
              <w:contextualSpacing/>
              <w:rPr>
                <w:highlight w:val="yellow"/>
              </w:rPr>
            </w:pPr>
            <w:r>
              <w:rPr>
                <w:highlight w:val="yellow"/>
              </w:rPr>
              <w:t>DNI 1: número de DNI.</w:t>
            </w:r>
          </w:p>
          <w:p>
            <w:pPr>
              <w:pStyle w:val="ListParagraph"/>
              <w:spacing w:lineRule="auto" w:line="240" w:before="0" w:after="0"/>
              <w:ind w:left="0" w:hanging="0"/>
              <w:contextualSpacing/>
              <w:rPr>
                <w:highlight w:val="yellow"/>
              </w:rPr>
            </w:pPr>
            <w:r>
              <w:rPr>
                <w:highlight w:val="yellow"/>
              </w:rPr>
              <w:t>Ancho de banda estimado.</w:t>
            </w:r>
          </w:p>
          <w:p>
            <w:pPr>
              <w:pStyle w:val="ListParagraph"/>
              <w:spacing w:lineRule="auto" w:line="240" w:before="0" w:after="0"/>
              <w:ind w:left="0" w:hanging="0"/>
              <w:contextualSpacing/>
              <w:rPr>
                <w:highlight w:val="yellow"/>
              </w:rPr>
            </w:pPr>
            <w:r>
              <w:rPr>
                <w:highlight w:val="yellow"/>
              </w:rPr>
              <w:t>Retardo estimado.</w:t>
            </w:r>
          </w:p>
          <w:p>
            <w:pPr>
              <w:pStyle w:val="ListParagraph"/>
              <w:spacing w:lineRule="auto" w:line="240" w:before="0" w:after="0"/>
              <w:ind w:left="0" w:hanging="0"/>
              <w:contextualSpacing/>
              <w:rPr>
                <w:highlight w:val="yellow"/>
              </w:rPr>
            </w:pPr>
            <w:r>
              <w:rPr>
                <w:highlight w:val="yellow"/>
              </w:rPr>
              <w:t>Desviación estándar del retardo.</w:t>
            </w:r>
          </w:p>
          <w:p>
            <w:pPr>
              <w:pStyle w:val="ListParagraph"/>
              <w:spacing w:lineRule="auto" w:line="240" w:before="0" w:after="0"/>
              <w:ind w:left="0" w:hanging="0"/>
              <w:contextualSpacing/>
              <w:rPr>
                <w:highlight w:val="yellow"/>
              </w:rPr>
            </w:pPr>
            <w:r>
              <w:rPr>
                <w:highlight w:val="yellow"/>
              </w:rPr>
              <w:t>Porcentaje de pérdidas.</w:t>
            </w:r>
          </w:p>
        </w:tc>
      </w:tr>
      <w:tr>
        <w:trPr/>
        <w:tc>
          <w:tcPr>
            <w:tcW w:w="8134" w:type="dxa"/>
            <w:tcBorders/>
            <w:shd w:fill="auto" w:val="clear"/>
          </w:tcPr>
          <w:p>
            <w:pPr>
              <w:pStyle w:val="ListParagraph"/>
              <w:spacing w:lineRule="auto" w:line="240" w:before="0" w:after="0"/>
              <w:ind w:left="0" w:hanging="0"/>
              <w:contextualSpacing/>
              <w:rPr>
                <w:highlight w:val="yellow"/>
              </w:rPr>
            </w:pPr>
            <w:r>
              <w:rPr>
                <w:highlight w:val="yellow"/>
              </w:rPr>
              <w:t>DNI 2: número de DNI.</w:t>
            </w:r>
          </w:p>
          <w:p>
            <w:pPr>
              <w:pStyle w:val="ListParagraph"/>
              <w:spacing w:lineRule="auto" w:line="240" w:before="0" w:after="0"/>
              <w:ind w:left="0" w:hanging="0"/>
              <w:contextualSpacing/>
              <w:rPr>
                <w:highlight w:val="yellow"/>
              </w:rPr>
            </w:pPr>
            <w:r>
              <w:rPr>
                <w:highlight w:val="yellow"/>
              </w:rPr>
              <w:t>Ancho de banda estimado.</w:t>
            </w:r>
          </w:p>
          <w:p>
            <w:pPr>
              <w:pStyle w:val="ListParagraph"/>
              <w:spacing w:lineRule="auto" w:line="240" w:before="0" w:after="0"/>
              <w:ind w:left="0" w:hanging="0"/>
              <w:contextualSpacing/>
              <w:rPr>
                <w:highlight w:val="yellow"/>
              </w:rPr>
            </w:pPr>
            <w:r>
              <w:rPr>
                <w:highlight w:val="yellow"/>
              </w:rPr>
              <w:t>Retardo estimado.</w:t>
            </w:r>
          </w:p>
          <w:p>
            <w:pPr>
              <w:pStyle w:val="ListParagraph"/>
              <w:spacing w:lineRule="auto" w:line="240" w:before="0" w:after="0"/>
              <w:ind w:left="0" w:hanging="0"/>
              <w:contextualSpacing/>
              <w:rPr>
                <w:highlight w:val="yellow"/>
              </w:rPr>
            </w:pPr>
            <w:r>
              <w:rPr>
                <w:highlight w:val="yellow"/>
              </w:rPr>
              <w:t>Desviación estándar del retardo.</w:t>
            </w:r>
          </w:p>
          <w:p>
            <w:pPr>
              <w:pStyle w:val="ListParagraph"/>
              <w:spacing w:lineRule="auto" w:line="240" w:before="0" w:after="0"/>
              <w:ind w:left="0" w:hanging="0"/>
              <w:contextualSpacing/>
              <w:rPr>
                <w:highlight w:val="yellow"/>
              </w:rPr>
            </w:pPr>
            <w:r>
              <w:rPr>
                <w:highlight w:val="yellow"/>
              </w:rPr>
              <w:t>Porcentaje de pérdidas.</w:t>
            </w:r>
          </w:p>
        </w:tc>
      </w:tr>
    </w:tbl>
    <w:p>
      <w:pPr>
        <w:pStyle w:val="Normal"/>
        <w:rPr/>
      </w:pPr>
      <w:r>
        <w:rPr/>
      </w:r>
    </w:p>
    <w:p>
      <w:pPr>
        <w:pStyle w:val="ListParagraph"/>
        <w:numPr>
          <w:ilvl w:val="0"/>
          <w:numId w:val="3"/>
        </w:numPr>
        <w:rPr/>
      </w:pPr>
      <w:bookmarkStart w:id="17" w:name="_Ref348345351"/>
      <w:bookmarkStart w:id="18" w:name="_Ref3480130581"/>
      <w:bookmarkEnd w:id="18"/>
      <w:r>
        <w:rPr/>
        <w:t xml:space="preserve">Se desea establecer un servicio de VoIP sobre una red cuyos parámetros de calidad son los del emulador. Explique razonadamente qué códec y tiempos de paquetización deberá utilizar en ambos casos para adaptarse de la mejor manera posible al canal, y cuantas llamadas simultáneas se podrían soportar en ese caso (se supone una red full-duplex). Para valorar dicho códec y tiempo de paquetización puede utilizar </w:t>
      </w:r>
      <w:hyperlink r:id="rId2">
        <w:r>
          <w:rPr>
            <w:rStyle w:val="EnlacedeInternet"/>
            <w:vanish/>
          </w:rPr>
          <w:t>esta página</w:t>
        </w:r>
      </w:hyperlink>
      <w:r>
        <w:rPr/>
        <w:t xml:space="preserve">. Igualmente, indique el tamaño del buffer a configurar en el receptor de la llamada para amortiguar el efecto del </w:t>
      </w:r>
      <w:r>
        <w:rPr>
          <w:i/>
        </w:rPr>
        <w:t>jitter</w:t>
      </w:r>
      <w:bookmarkEnd w:id="17"/>
      <w:r>
        <w:rPr/>
        <w:t>.</w:t>
      </w:r>
    </w:p>
    <w:tbl>
      <w:tblPr>
        <w:tblStyle w:val="Tablaconcuadrcula"/>
        <w:tblW w:w="8134" w:type="dxa"/>
        <w:jc w:val="left"/>
        <w:tblInd w:w="350" w:type="dxa"/>
        <w:tblCellMar>
          <w:top w:w="0" w:type="dxa"/>
          <w:left w:w="98" w:type="dxa"/>
          <w:bottom w:w="0" w:type="dxa"/>
          <w:right w:w="108" w:type="dxa"/>
        </w:tblCellMar>
        <w:tblLook w:noVBand="1" w:val="04a0" w:noHBand="0" w:lastColumn="0" w:firstColumn="1" w:lastRow="0" w:firstRow="1"/>
      </w:tblPr>
      <w:tblGrid>
        <w:gridCol w:w="8134"/>
      </w:tblGrid>
      <w:tr>
        <w:trPr/>
        <w:tc>
          <w:tcPr>
            <w:tcW w:w="8134" w:type="dxa"/>
            <w:tcBorders/>
            <w:shd w:fill="auto" w:val="clear"/>
          </w:tcPr>
          <w:p>
            <w:pPr>
              <w:pStyle w:val="ListParagraph"/>
              <w:spacing w:lineRule="auto" w:line="240" w:before="0" w:after="0"/>
              <w:ind w:left="0" w:hanging="0"/>
              <w:contextualSpacing/>
              <w:rPr>
                <w:highlight w:val="yellow"/>
              </w:rPr>
            </w:pPr>
            <w:r>
              <w:rPr>
                <w:highlight w:val="yellow"/>
              </w:rPr>
              <w:t>Explique razonadamente el códec y tiempos de paquetización a utilizar para el canal del DNI1.</w:t>
            </w:r>
          </w:p>
          <w:p>
            <w:pPr>
              <w:pStyle w:val="ListParagraph"/>
              <w:spacing w:lineRule="auto" w:line="240" w:before="0" w:after="0"/>
              <w:ind w:left="0" w:hanging="0"/>
              <w:contextualSpacing/>
              <w:rPr>
                <w:highlight w:val="yellow"/>
              </w:rPr>
            </w:pPr>
            <w:r>
              <w:rPr>
                <w:highlight w:val="yellow"/>
              </w:rPr>
            </w:r>
          </w:p>
        </w:tc>
      </w:tr>
      <w:tr>
        <w:trPr/>
        <w:tc>
          <w:tcPr>
            <w:tcW w:w="8134" w:type="dxa"/>
            <w:tcBorders/>
            <w:shd w:fill="auto" w:val="clear"/>
          </w:tcPr>
          <w:p>
            <w:pPr>
              <w:pStyle w:val="ListParagraph"/>
              <w:spacing w:lineRule="auto" w:line="240" w:before="0" w:after="0"/>
              <w:ind w:left="0" w:hanging="0"/>
              <w:contextualSpacing/>
              <w:rPr>
                <w:highlight w:val="yellow"/>
              </w:rPr>
            </w:pPr>
            <w:r>
              <w:rPr>
                <w:highlight w:val="yellow"/>
              </w:rPr>
              <w:t>Indique cuántas llamadas se podrían soportar en este caso.</w:t>
            </w:r>
          </w:p>
        </w:tc>
      </w:tr>
      <w:tr>
        <w:trPr/>
        <w:tc>
          <w:tcPr>
            <w:tcW w:w="8134" w:type="dxa"/>
            <w:tcBorders/>
            <w:shd w:fill="auto" w:val="clear"/>
          </w:tcPr>
          <w:p>
            <w:pPr>
              <w:pStyle w:val="ListParagraph"/>
              <w:spacing w:lineRule="auto" w:line="240" w:before="0" w:after="0"/>
              <w:ind w:left="0" w:hanging="0"/>
              <w:contextualSpacing/>
              <w:rPr>
                <w:highlight w:val="yellow"/>
              </w:rPr>
            </w:pPr>
            <w:r>
              <w:rPr>
                <w:highlight w:val="yellow"/>
              </w:rPr>
              <w:t>Indique razonadamente el tamaño del buffer a configurar en el receptor.</w:t>
            </w:r>
          </w:p>
        </w:tc>
      </w:tr>
      <w:tr>
        <w:trPr/>
        <w:tc>
          <w:tcPr>
            <w:tcW w:w="8134" w:type="dxa"/>
            <w:tcBorders/>
            <w:shd w:fill="auto" w:val="clear"/>
          </w:tcPr>
          <w:p>
            <w:pPr>
              <w:pStyle w:val="ListParagraph"/>
              <w:spacing w:lineRule="auto" w:line="240" w:before="0" w:after="0"/>
              <w:ind w:left="0" w:hanging="0"/>
              <w:contextualSpacing/>
              <w:rPr>
                <w:highlight w:val="yellow"/>
              </w:rPr>
            </w:pPr>
            <w:r>
              <w:rPr>
                <w:highlight w:val="yellow"/>
              </w:rPr>
              <w:t>Explique razonadamente el códec y tiempos de paquetización a utilizar para el canal del DNI2.</w:t>
            </w:r>
          </w:p>
          <w:p>
            <w:pPr>
              <w:pStyle w:val="ListParagraph"/>
              <w:spacing w:lineRule="auto" w:line="240" w:before="0" w:after="0"/>
              <w:ind w:left="0" w:hanging="0"/>
              <w:contextualSpacing/>
              <w:rPr>
                <w:highlight w:val="yellow"/>
              </w:rPr>
            </w:pPr>
            <w:r>
              <w:rPr>
                <w:highlight w:val="yellow"/>
              </w:rPr>
            </w:r>
          </w:p>
        </w:tc>
      </w:tr>
      <w:tr>
        <w:trPr/>
        <w:tc>
          <w:tcPr>
            <w:tcW w:w="8134" w:type="dxa"/>
            <w:tcBorders/>
            <w:shd w:fill="auto" w:val="clear"/>
          </w:tcPr>
          <w:p>
            <w:pPr>
              <w:pStyle w:val="ListParagraph"/>
              <w:spacing w:lineRule="auto" w:line="240" w:before="0" w:after="0"/>
              <w:ind w:left="0" w:hanging="0"/>
              <w:contextualSpacing/>
              <w:rPr>
                <w:highlight w:val="yellow"/>
              </w:rPr>
            </w:pPr>
            <w:r>
              <w:rPr>
                <w:highlight w:val="yellow"/>
              </w:rPr>
              <w:t>Indique cuántas llamadas se podrían soportar en este caso.</w:t>
            </w:r>
          </w:p>
        </w:tc>
      </w:tr>
      <w:tr>
        <w:trPr/>
        <w:tc>
          <w:tcPr>
            <w:tcW w:w="8134" w:type="dxa"/>
            <w:tcBorders/>
            <w:shd w:fill="auto" w:val="clear"/>
          </w:tcPr>
          <w:p>
            <w:pPr>
              <w:pStyle w:val="ListParagraph"/>
              <w:spacing w:lineRule="auto" w:line="240" w:before="0" w:after="0"/>
              <w:ind w:left="0" w:hanging="0"/>
              <w:contextualSpacing/>
              <w:rPr>
                <w:highlight w:val="yellow"/>
              </w:rPr>
            </w:pPr>
            <w:r>
              <w:rPr>
                <w:highlight w:val="yellow"/>
              </w:rPr>
              <w:t>Indique razonadamente el tamaño del buffer a configurar en el receptor.</w:t>
            </w:r>
          </w:p>
        </w:tc>
      </w:tr>
    </w:tbl>
    <w:p>
      <w:pPr>
        <w:pStyle w:val="Normal"/>
        <w:rPr/>
      </w:pPr>
      <w:r>
        <w:rPr/>
      </w:r>
      <w:bookmarkStart w:id="19" w:name="_Toc411430703"/>
      <w:bookmarkStart w:id="20" w:name="_Toc410375183"/>
      <w:bookmarkStart w:id="21" w:name="_Toc411429203"/>
      <w:bookmarkStart w:id="22" w:name="_Toc411430703"/>
      <w:bookmarkStart w:id="23" w:name="_Toc410375183"/>
      <w:bookmarkStart w:id="24" w:name="_Toc411429203"/>
      <w:bookmarkEnd w:id="22"/>
      <w:bookmarkEnd w:id="23"/>
      <w:bookmarkEnd w:id="24"/>
    </w:p>
    <w:p>
      <w:pPr>
        <w:pStyle w:val="ListParagraph"/>
        <w:numPr>
          <w:ilvl w:val="0"/>
          <w:numId w:val="3"/>
        </w:numPr>
        <w:rPr/>
      </w:pPr>
      <w:r>
        <w:rPr/>
        <w:t xml:space="preserve">Simule el servicio planteado en el apartado </w:t>
      </w:r>
      <w:r>
        <w:rPr/>
        <w:fldChar w:fldCharType="begin"/>
      </w:r>
      <w:r>
        <w:rPr/>
        <w:instrText> REF _Ref348345351 \r \h </w:instrText>
      </w:r>
      <w:r>
        <w:rPr/>
        <w:fldChar w:fldCharType="separate"/>
      </w:r>
      <w:r>
        <w:rPr/>
        <w:t>7</w:t>
      </w:r>
      <w:r>
        <w:rPr/>
        <w:fldChar w:fldCharType="end"/>
      </w:r>
      <w:r>
        <w:rPr/>
        <w:t xml:space="preserve"> con las herramientas codificadas previamente y evalúe si el resultado responde a la predicción realizada. Indique razonadamente los parámetros utilizados para generar el tren de paquetes.</w:t>
      </w:r>
    </w:p>
    <w:tbl>
      <w:tblPr>
        <w:tblStyle w:val="Tablaconcuadrcula"/>
        <w:tblW w:w="8134" w:type="dxa"/>
        <w:jc w:val="left"/>
        <w:tblInd w:w="350" w:type="dxa"/>
        <w:tblCellMar>
          <w:top w:w="0" w:type="dxa"/>
          <w:left w:w="98" w:type="dxa"/>
          <w:bottom w:w="0" w:type="dxa"/>
          <w:right w:w="108" w:type="dxa"/>
        </w:tblCellMar>
        <w:tblLook w:noVBand="1" w:val="04a0" w:noHBand="0" w:lastColumn="0" w:firstColumn="1" w:lastRow="0" w:firstRow="1"/>
      </w:tblPr>
      <w:tblGrid>
        <w:gridCol w:w="8134"/>
      </w:tblGrid>
      <w:tr>
        <w:trPr/>
        <w:tc>
          <w:tcPr>
            <w:tcW w:w="8134" w:type="dxa"/>
            <w:tcBorders/>
            <w:shd w:fill="auto" w:val="clear"/>
          </w:tcPr>
          <w:p>
            <w:pPr>
              <w:pStyle w:val="ListParagraph"/>
              <w:spacing w:lineRule="auto" w:line="240" w:before="0" w:after="0"/>
              <w:ind w:left="0" w:hanging="0"/>
              <w:contextualSpacing/>
              <w:rPr>
                <w:highlight w:val="yellow"/>
              </w:rPr>
            </w:pPr>
            <w:r>
              <w:rPr>
                <w:highlight w:val="yellow"/>
              </w:rPr>
              <w:t>Indique razonadamente los parámetros utilizados para generar el tren de paquetes que simula el tráfico de VoIP calculado en el apartado anterior.</w:t>
            </w:r>
          </w:p>
          <w:p>
            <w:pPr>
              <w:pStyle w:val="ListParagraph"/>
              <w:spacing w:lineRule="auto" w:line="240" w:before="0" w:after="0"/>
              <w:ind w:left="0" w:hanging="0"/>
              <w:contextualSpacing/>
              <w:rPr>
                <w:highlight w:val="yellow"/>
              </w:rPr>
            </w:pPr>
            <w:r>
              <w:rPr>
                <w:highlight w:val="yellow"/>
              </w:rPr>
            </w:r>
          </w:p>
        </w:tc>
      </w:tr>
      <w:tr>
        <w:trPr/>
        <w:tc>
          <w:tcPr>
            <w:tcW w:w="8134" w:type="dxa"/>
            <w:tcBorders/>
            <w:shd w:fill="auto" w:val="clear"/>
          </w:tcPr>
          <w:p>
            <w:pPr>
              <w:pStyle w:val="ListParagraph"/>
              <w:spacing w:lineRule="auto" w:line="240" w:before="0" w:after="0"/>
              <w:ind w:left="0" w:hanging="0"/>
              <w:contextualSpacing/>
              <w:rPr>
                <w:highlight w:val="yellow"/>
              </w:rPr>
            </w:pPr>
            <w:r>
              <w:rPr>
                <w:highlight w:val="yellow"/>
              </w:rPr>
              <w:t>Evalúe con las medidas en el servidorTren si el resultado es</w:t>
            </w:r>
          </w:p>
        </w:tc>
      </w:tr>
      <w:tr>
        <w:trPr/>
        <w:tc>
          <w:tcPr>
            <w:tcW w:w="8134" w:type="dxa"/>
            <w:tcBorders/>
            <w:shd w:fill="auto" w:val="clear"/>
          </w:tcPr>
          <w:p>
            <w:pPr>
              <w:pStyle w:val="ListParagraph"/>
              <w:spacing w:lineRule="auto" w:line="240" w:before="0" w:after="0"/>
              <w:ind w:left="0" w:hanging="0"/>
              <w:contextualSpacing/>
              <w:rPr>
                <w:highlight w:val="yellow"/>
              </w:rPr>
            </w:pPr>
            <w:r>
              <w:rPr>
                <w:highlight w:val="yellow"/>
              </w:rPr>
            </w:r>
          </w:p>
        </w:tc>
      </w:tr>
    </w:tbl>
    <w:p>
      <w:pPr>
        <w:pStyle w:val="Normal"/>
        <w:rPr/>
      </w:pPr>
      <w:r>
        <w:rPr/>
      </w:r>
    </w:p>
    <w:p>
      <w:pPr>
        <w:pStyle w:val="ListParagraph"/>
        <w:ind w:left="1080" w:hanging="0"/>
        <w:rPr/>
      </w:pPr>
      <w:r>
        <w:rPr/>
      </w:r>
    </w:p>
    <w:p>
      <w:pPr>
        <w:pStyle w:val="Ttulo1"/>
        <w:numPr>
          <w:ilvl w:val="0"/>
          <w:numId w:val="2"/>
        </w:numPr>
        <w:rPr/>
      </w:pPr>
      <w:bookmarkStart w:id="25" w:name="__RefHeading___Toc289_732697610"/>
      <w:bookmarkStart w:id="26" w:name="_Toc411430704"/>
      <w:bookmarkEnd w:id="25"/>
      <w:bookmarkEnd w:id="26"/>
      <w:r>
        <w:rPr/>
        <w:t>Conclusiones</w:t>
      </w:r>
    </w:p>
    <w:p>
      <w:pPr>
        <w:pStyle w:val="Normal"/>
        <w:widowControl/>
        <w:bidi w:val="0"/>
        <w:spacing w:lineRule="auto" w:line="276" w:before="0" w:after="200"/>
        <w:jc w:val="both"/>
        <w:rPr/>
      </w:pPr>
      <w:r>
        <w:rPr>
          <w:highlight w:val="yellow"/>
        </w:rPr>
        <w:t>Escriba aquí las conclusiones que ha extraído de la realización de la práctica.</w:t>
      </w:r>
    </w:p>
    <w:sectPr>
      <w:type w:val="nextPage"/>
      <w:pgSz w:w="11906" w:h="16838"/>
      <w:pgMar w:left="1701" w:right="1701" w:header="0" w:top="1417" w:footer="0" w:bottom="1417" w:gutter="0"/>
      <w:pgNumType w:fmt="decimal"/>
      <w:formProt w:val="false"/>
      <w:textDirection w:val="lrTb"/>
      <w:docGrid w:type="default" w:linePitch="360" w:charSpace="42949650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33604"/>
    <w:pPr>
      <w:widowControl/>
      <w:bidi w:val="0"/>
      <w:spacing w:lineRule="auto" w:line="276" w:before="0" w:after="200"/>
      <w:jc w:val="both"/>
    </w:pPr>
    <w:rPr>
      <w:rFonts w:ascii="Calibri" w:hAnsi="Calibri" w:eastAsia="Calibri" w:cs=""/>
      <w:color w:val="00000A"/>
      <w:kern w:val="0"/>
      <w:sz w:val="22"/>
      <w:szCs w:val="22"/>
      <w:lang w:val="es-ES" w:eastAsia="en-US" w:bidi="ar-SA"/>
    </w:rPr>
  </w:style>
  <w:style w:type="paragraph" w:styleId="Ttulo1">
    <w:name w:val="Heading 1"/>
    <w:basedOn w:val="Normal"/>
    <w:next w:val="Normal"/>
    <w:link w:val="Ttulo1Car"/>
    <w:uiPriority w:val="9"/>
    <w:qFormat/>
    <w:rsid w:val="006013b8"/>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ar"/>
    <w:uiPriority w:val="9"/>
    <w:unhideWhenUsed/>
    <w:qFormat/>
    <w:rsid w:val="006013b8"/>
    <w:pPr>
      <w:keepNext w:val="true"/>
      <w:keepLines/>
      <w:numPr>
        <w:ilvl w:val="1"/>
        <w:numId w:val="1"/>
      </w:numPr>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Ttulo3Car"/>
    <w:uiPriority w:val="9"/>
    <w:semiHidden/>
    <w:unhideWhenUsed/>
    <w:qFormat/>
    <w:rsid w:val="006013b8"/>
    <w:pPr>
      <w:keepNext w:val="true"/>
      <w:keepLines/>
      <w:numPr>
        <w:ilvl w:val="2"/>
        <w:numId w:val="1"/>
      </w:numPr>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Ttulo4">
    <w:name w:val="Heading 4"/>
    <w:basedOn w:val="Normal"/>
    <w:next w:val="Normal"/>
    <w:link w:val="Ttulo4Car"/>
    <w:uiPriority w:val="9"/>
    <w:semiHidden/>
    <w:unhideWhenUsed/>
    <w:qFormat/>
    <w:rsid w:val="006013b8"/>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Heading 5"/>
    <w:basedOn w:val="Normal"/>
    <w:next w:val="Normal"/>
    <w:link w:val="Ttulo5Car"/>
    <w:uiPriority w:val="9"/>
    <w:semiHidden/>
    <w:unhideWhenUsed/>
    <w:qFormat/>
    <w:rsid w:val="006013b8"/>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Ttulo6">
    <w:name w:val="Heading 6"/>
    <w:basedOn w:val="Normal"/>
    <w:next w:val="Normal"/>
    <w:link w:val="Ttulo6Car"/>
    <w:uiPriority w:val="9"/>
    <w:semiHidden/>
    <w:unhideWhenUsed/>
    <w:qFormat/>
    <w:rsid w:val="006013b8"/>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Ttulo7">
    <w:name w:val="Heading 7"/>
    <w:basedOn w:val="Normal"/>
    <w:next w:val="Normal"/>
    <w:link w:val="Ttulo7Car"/>
    <w:uiPriority w:val="9"/>
    <w:semiHidden/>
    <w:unhideWhenUsed/>
    <w:qFormat/>
    <w:rsid w:val="006013b8"/>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Ttulo8">
    <w:name w:val="Heading 8"/>
    <w:basedOn w:val="Normal"/>
    <w:next w:val="Normal"/>
    <w:link w:val="Ttulo8Car"/>
    <w:uiPriority w:val="9"/>
    <w:semiHidden/>
    <w:unhideWhenUsed/>
    <w:qFormat/>
    <w:rsid w:val="006013b8"/>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Ttulo9Car"/>
    <w:uiPriority w:val="9"/>
    <w:semiHidden/>
    <w:unhideWhenUsed/>
    <w:qFormat/>
    <w:rsid w:val="006013b8"/>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e654c5"/>
    <w:rPr>
      <w:rFonts w:ascii="Cambria" w:hAnsi="Cambria" w:eastAsia="" w:cs="" w:asciiTheme="majorHAnsi" w:cstheme="majorBidi" w:eastAsiaTheme="majorEastAsia" w:hAnsiTheme="majorHAnsi"/>
      <w:color w:val="17365D" w:themeColor="text2" w:themeShade="bf"/>
      <w:spacing w:val="5"/>
      <w:sz w:val="52"/>
      <w:szCs w:val="52"/>
    </w:rPr>
  </w:style>
  <w:style w:type="character" w:styleId="EnlacedeInternet" w:customStyle="1">
    <w:name w:val="Enlace de Internet"/>
    <w:basedOn w:val="DefaultParagraphFont"/>
    <w:uiPriority w:val="99"/>
    <w:unhideWhenUsed/>
    <w:rsid w:val="00e654c5"/>
    <w:rPr>
      <w:color w:val="0000FF" w:themeColor="hyperlink"/>
      <w:u w:val="single"/>
    </w:rPr>
  </w:style>
  <w:style w:type="character" w:styleId="Ttulo1Car" w:customStyle="1">
    <w:name w:val="Título 1 Car"/>
    <w:basedOn w:val="DefaultParagraphFont"/>
    <w:link w:val="Ttulo1"/>
    <w:uiPriority w:val="9"/>
    <w:qFormat/>
    <w:rsid w:val="006013b8"/>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Ttulo2"/>
    <w:uiPriority w:val="9"/>
    <w:qFormat/>
    <w:rsid w:val="006013b8"/>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Ttulo3"/>
    <w:uiPriority w:val="9"/>
    <w:semiHidden/>
    <w:qFormat/>
    <w:rsid w:val="006013b8"/>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link w:val="Ttulo4"/>
    <w:uiPriority w:val="9"/>
    <w:semiHidden/>
    <w:qFormat/>
    <w:rsid w:val="006013b8"/>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link w:val="Ttulo5"/>
    <w:uiPriority w:val="9"/>
    <w:semiHidden/>
    <w:qFormat/>
    <w:rsid w:val="006013b8"/>
    <w:rPr>
      <w:rFonts w:ascii="Cambria" w:hAnsi="Cambria" w:eastAsia="" w:cs="" w:asciiTheme="majorHAnsi" w:cstheme="majorBidi" w:eastAsiaTheme="majorEastAsia" w:hAnsiTheme="majorHAnsi"/>
      <w:color w:val="243F60" w:themeColor="accent1" w:themeShade="7f"/>
    </w:rPr>
  </w:style>
  <w:style w:type="character" w:styleId="Ttulo6Car" w:customStyle="1">
    <w:name w:val="Título 6 Car"/>
    <w:basedOn w:val="DefaultParagraphFont"/>
    <w:link w:val="Ttulo6"/>
    <w:uiPriority w:val="9"/>
    <w:semiHidden/>
    <w:qFormat/>
    <w:rsid w:val="006013b8"/>
    <w:rPr>
      <w:rFonts w:ascii="Cambria" w:hAnsi="Cambria" w:eastAsia="" w:cs="" w:asciiTheme="majorHAnsi" w:cstheme="majorBidi" w:eastAsiaTheme="majorEastAsia" w:hAnsiTheme="majorHAnsi"/>
      <w:i/>
      <w:iCs/>
      <w:color w:val="243F60" w:themeColor="accent1" w:themeShade="7f"/>
    </w:rPr>
  </w:style>
  <w:style w:type="character" w:styleId="Ttulo7Car" w:customStyle="1">
    <w:name w:val="Título 7 Car"/>
    <w:basedOn w:val="DefaultParagraphFont"/>
    <w:link w:val="Ttulo7"/>
    <w:uiPriority w:val="9"/>
    <w:semiHidden/>
    <w:qFormat/>
    <w:rsid w:val="006013b8"/>
    <w:rPr>
      <w:rFonts w:ascii="Cambria" w:hAnsi="Cambria"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qFormat/>
    <w:rsid w:val="006013b8"/>
    <w:rPr>
      <w:rFonts w:ascii="Cambria" w:hAnsi="Cambria" w:eastAsia="" w:cs="" w:asciiTheme="majorHAnsi" w:cstheme="majorBidi" w:eastAsiaTheme="majorEastAsia" w:hAnsiTheme="majorHAnsi"/>
      <w:color w:val="404040" w:themeColor="text1" w:themeTint="bf"/>
      <w:sz w:val="20"/>
      <w:szCs w:val="20"/>
    </w:rPr>
  </w:style>
  <w:style w:type="character" w:styleId="Ttulo9Car" w:customStyle="1">
    <w:name w:val="Título 9 Car"/>
    <w:basedOn w:val="DefaultParagraphFont"/>
    <w:link w:val="Ttulo9"/>
    <w:uiPriority w:val="9"/>
    <w:semiHidden/>
    <w:qFormat/>
    <w:rsid w:val="006013b8"/>
    <w:rPr>
      <w:rFonts w:ascii="Cambria" w:hAnsi="Cambria" w:eastAsia="" w:cs="" w:asciiTheme="majorHAnsi" w:cstheme="majorBidi" w:eastAsiaTheme="majorEastAsia" w:hAnsiTheme="majorHAnsi"/>
      <w:i/>
      <w:iCs/>
      <w:color w:val="404040" w:themeColor="text1" w:themeTint="bf"/>
      <w:sz w:val="20"/>
      <w:szCs w:val="20"/>
    </w:rPr>
  </w:style>
  <w:style w:type="character" w:styleId="TextodegloboCar" w:customStyle="1">
    <w:name w:val="Texto de globo Car"/>
    <w:basedOn w:val="DefaultParagraphFont"/>
    <w:link w:val="Textodeglobo"/>
    <w:uiPriority w:val="99"/>
    <w:semiHidden/>
    <w:qFormat/>
    <w:rsid w:val="00003ed0"/>
    <w:rPr>
      <w:rFonts w:ascii="Tahoma" w:hAnsi="Tahoma" w:cs="Tahoma"/>
      <w:sz w:val="16"/>
      <w:szCs w:val="16"/>
    </w:rPr>
  </w:style>
  <w:style w:type="character" w:styleId="TextonotaalfinalCar" w:customStyle="1">
    <w:name w:val="Texto nota al final Car"/>
    <w:basedOn w:val="DefaultParagraphFont"/>
    <w:link w:val="Textonotaalfinal"/>
    <w:uiPriority w:val="99"/>
    <w:semiHidden/>
    <w:qFormat/>
    <w:rsid w:val="00e6568f"/>
    <w:rPr>
      <w:sz w:val="20"/>
      <w:szCs w:val="20"/>
    </w:rPr>
  </w:style>
  <w:style w:type="character" w:styleId="Ancladenotafinal">
    <w:name w:val="Ancla de nota final"/>
    <w:rPr>
      <w:vertAlign w:val="superscript"/>
    </w:rPr>
  </w:style>
  <w:style w:type="character" w:styleId="EndnoteCharacters">
    <w:name w:val="Endnote Characters"/>
    <w:basedOn w:val="DefaultParagraphFont"/>
    <w:uiPriority w:val="99"/>
    <w:semiHidden/>
    <w:unhideWhenUsed/>
    <w:qFormat/>
    <w:rsid w:val="00e6568f"/>
    <w:rPr>
      <w:vertAlign w:val="superscript"/>
    </w:rPr>
  </w:style>
  <w:style w:type="character" w:styleId="TextonotapieCar" w:customStyle="1">
    <w:name w:val="Texto nota pie Car"/>
    <w:basedOn w:val="DefaultParagraphFont"/>
    <w:link w:val="Textonotapie"/>
    <w:uiPriority w:val="99"/>
    <w:semiHidden/>
    <w:qFormat/>
    <w:rsid w:val="00e6568f"/>
    <w:rPr>
      <w:sz w:val="20"/>
      <w:szCs w:val="20"/>
    </w:rPr>
  </w:style>
  <w:style w:type="character" w:styleId="Ancladenotaalpie">
    <w:name w:val="Ancla de nota al pie"/>
    <w:rPr>
      <w:vertAlign w:val="superscript"/>
    </w:rPr>
  </w:style>
  <w:style w:type="character" w:styleId="FootnoteCharacters">
    <w:name w:val="Footnote Characters"/>
    <w:basedOn w:val="DefaultParagraphFont"/>
    <w:uiPriority w:val="99"/>
    <w:semiHidden/>
    <w:unhideWhenUsed/>
    <w:qFormat/>
    <w:rsid w:val="00e6568f"/>
    <w:rPr>
      <w:vertAlign w:val="superscript"/>
    </w:rPr>
  </w:style>
  <w:style w:type="character" w:styleId="FollowedHyperlink">
    <w:name w:val="FollowedHyperlink"/>
    <w:basedOn w:val="DefaultParagraphFont"/>
    <w:uiPriority w:val="99"/>
    <w:semiHidden/>
    <w:unhideWhenUsed/>
    <w:qFormat/>
    <w:rsid w:val="00fe5ef4"/>
    <w:rPr>
      <w:color w:val="800080" w:themeColor="followedHyperlink"/>
      <w:u w:val="single"/>
    </w:rPr>
  </w:style>
  <w:style w:type="character" w:styleId="Annotationreference">
    <w:name w:val="annotation reference"/>
    <w:basedOn w:val="DefaultParagraphFont"/>
    <w:uiPriority w:val="99"/>
    <w:semiHidden/>
    <w:unhideWhenUsed/>
    <w:qFormat/>
    <w:rsid w:val="00a77d62"/>
    <w:rPr>
      <w:sz w:val="16"/>
      <w:szCs w:val="16"/>
    </w:rPr>
  </w:style>
  <w:style w:type="character" w:styleId="TextocomentarioCar" w:customStyle="1">
    <w:name w:val="Texto comentario Car"/>
    <w:basedOn w:val="DefaultParagraphFont"/>
    <w:link w:val="Textocomentario"/>
    <w:uiPriority w:val="99"/>
    <w:semiHidden/>
    <w:qFormat/>
    <w:rsid w:val="00a77d62"/>
    <w:rPr>
      <w:sz w:val="20"/>
      <w:szCs w:val="20"/>
    </w:rPr>
  </w:style>
  <w:style w:type="character" w:styleId="AsuntodelcomentarioCar" w:customStyle="1">
    <w:name w:val="Asunto del comentario Car"/>
    <w:basedOn w:val="TextocomentarioCar"/>
    <w:link w:val="Asuntodelcomentario"/>
    <w:uiPriority w:val="99"/>
    <w:semiHidden/>
    <w:qFormat/>
    <w:rsid w:val="0066771d"/>
    <w:rPr>
      <w:b/>
      <w:bCs/>
      <w:sz w:val="20"/>
      <w:szCs w:val="20"/>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Enlacedelndice" w:customStyle="1">
    <w:name w:val="Enlace del índice"/>
    <w:qFormat/>
    <w:rPr/>
  </w:style>
  <w:style w:type="character" w:styleId="ListLabel13">
    <w:name w:val="ListLabel 13"/>
    <w:qFormat/>
    <w:rPr>
      <w:vanish/>
    </w:rPr>
  </w:style>
  <w:style w:type="paragraph" w:styleId="Ttulo">
    <w:name w:val="Título"/>
    <w:basedOn w:val="Normal"/>
    <w:next w:val="Cuerpodetexto"/>
    <w:qFormat/>
    <w:pPr>
      <w:keepNext w:val="true"/>
      <w:spacing w:before="240" w:after="120"/>
    </w:pPr>
    <w:rPr>
      <w:rFonts w:ascii="Liberation Sans" w:hAnsi="Liberation Sans" w:eastAsia="WenQuanYi Micro Hei"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rFonts w:cs="FreeSans"/>
    </w:rPr>
  </w:style>
  <w:style w:type="paragraph" w:styleId="Cabecera">
    <w:name w:val="Header"/>
    <w:basedOn w:val="Normal"/>
    <w:qFormat/>
    <w:pPr>
      <w:keepNext w:val="true"/>
      <w:spacing w:before="240" w:after="120"/>
    </w:pPr>
    <w:rPr>
      <w:rFonts w:ascii="Liberation Sans" w:hAnsi="Liberation Sans" w:eastAsia="WenQuanYi Micro Hei" w:cs="FreeSans"/>
      <w:sz w:val="28"/>
      <w:szCs w:val="28"/>
    </w:rPr>
  </w:style>
  <w:style w:type="paragraph" w:styleId="Caption">
    <w:name w:val="caption"/>
    <w:basedOn w:val="Normal"/>
    <w:next w:val="Normal"/>
    <w:uiPriority w:val="35"/>
    <w:unhideWhenUsed/>
    <w:qFormat/>
    <w:rsid w:val="00b31d0e"/>
    <w:pPr>
      <w:spacing w:lineRule="auto" w:line="240"/>
    </w:pPr>
    <w:rPr>
      <w:b/>
      <w:bCs/>
      <w:color w:val="4F81BD" w:themeColor="accent1"/>
      <w:sz w:val="18"/>
      <w:szCs w:val="18"/>
    </w:rPr>
  </w:style>
  <w:style w:type="paragraph" w:styleId="Titular">
    <w:name w:val="Title"/>
    <w:basedOn w:val="Normal"/>
    <w:next w:val="Normal"/>
    <w:link w:val="TtuloCar"/>
    <w:uiPriority w:val="10"/>
    <w:qFormat/>
    <w:rsid w:val="00e654c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133604"/>
    <w:pPr>
      <w:spacing w:before="0" w:after="200"/>
      <w:ind w:left="720" w:hanging="0"/>
      <w:contextualSpacing/>
    </w:pPr>
    <w:rPr/>
  </w:style>
  <w:style w:type="paragraph" w:styleId="TOCHeading">
    <w:name w:val="TOC Heading"/>
    <w:basedOn w:val="Ttulo1"/>
    <w:next w:val="Normal"/>
    <w:uiPriority w:val="39"/>
    <w:semiHidden/>
    <w:unhideWhenUsed/>
    <w:qFormat/>
    <w:rsid w:val="00003ed0"/>
    <w:pPr>
      <w:numPr>
        <w:ilvl w:val="0"/>
        <w:numId w:val="0"/>
      </w:numPr>
      <w:jc w:val="left"/>
    </w:pPr>
    <w:rPr>
      <w:lang w:eastAsia="es-ES"/>
    </w:rPr>
  </w:style>
  <w:style w:type="paragraph" w:styleId="Sumario1">
    <w:name w:val="TOC 1"/>
    <w:basedOn w:val="Normal"/>
    <w:next w:val="Normal"/>
    <w:autoRedefine/>
    <w:uiPriority w:val="39"/>
    <w:unhideWhenUsed/>
    <w:rsid w:val="00003ed0"/>
    <w:pPr>
      <w:spacing w:before="0" w:after="100"/>
    </w:pPr>
    <w:rPr/>
  </w:style>
  <w:style w:type="paragraph" w:styleId="Sumario2">
    <w:name w:val="TOC 2"/>
    <w:basedOn w:val="Normal"/>
    <w:next w:val="Normal"/>
    <w:autoRedefine/>
    <w:uiPriority w:val="39"/>
    <w:unhideWhenUsed/>
    <w:rsid w:val="00003ed0"/>
    <w:pPr>
      <w:spacing w:before="0" w:after="100"/>
      <w:ind w:left="220" w:hanging="0"/>
    </w:pPr>
    <w:rPr/>
  </w:style>
  <w:style w:type="paragraph" w:styleId="BalloonText">
    <w:name w:val="Balloon Text"/>
    <w:basedOn w:val="Normal"/>
    <w:link w:val="TextodegloboCar"/>
    <w:uiPriority w:val="99"/>
    <w:semiHidden/>
    <w:unhideWhenUsed/>
    <w:qFormat/>
    <w:rsid w:val="00003ed0"/>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3863cf"/>
    <w:pPr>
      <w:spacing w:lineRule="auto" w:line="240" w:beforeAutospacing="1" w:afterAutospacing="1"/>
      <w:jc w:val="left"/>
    </w:pPr>
    <w:rPr>
      <w:rFonts w:ascii="Times New Roman" w:hAnsi="Times New Roman" w:eastAsia="" w:cs="Times New Roman" w:eastAsiaTheme="minorEastAsia"/>
      <w:sz w:val="24"/>
      <w:szCs w:val="24"/>
      <w:lang w:eastAsia="es-ES"/>
    </w:rPr>
  </w:style>
  <w:style w:type="paragraph" w:styleId="Notafinal">
    <w:name w:val="Endnote Text"/>
    <w:basedOn w:val="Normal"/>
    <w:link w:val="TextonotaalfinalCar"/>
    <w:uiPriority w:val="99"/>
    <w:semiHidden/>
    <w:unhideWhenUsed/>
    <w:qFormat/>
    <w:rsid w:val="00e6568f"/>
    <w:pPr>
      <w:spacing w:lineRule="auto" w:line="240" w:before="0" w:after="0"/>
    </w:pPr>
    <w:rPr>
      <w:sz w:val="20"/>
      <w:szCs w:val="20"/>
    </w:rPr>
  </w:style>
  <w:style w:type="paragraph" w:styleId="Notaalpie">
    <w:name w:val="Footnote Text"/>
    <w:basedOn w:val="Normal"/>
    <w:link w:val="TextonotapieCar"/>
    <w:uiPriority w:val="99"/>
    <w:semiHidden/>
    <w:unhideWhenUsed/>
    <w:qFormat/>
    <w:rsid w:val="00e6568f"/>
    <w:pPr>
      <w:spacing w:lineRule="auto" w:line="240" w:before="0" w:after="0"/>
    </w:pPr>
    <w:rPr>
      <w:sz w:val="20"/>
      <w:szCs w:val="20"/>
    </w:rPr>
  </w:style>
  <w:style w:type="paragraph" w:styleId="Annotationtext">
    <w:name w:val="annotation text"/>
    <w:basedOn w:val="Normal"/>
    <w:link w:val="TextocomentarioCar"/>
    <w:uiPriority w:val="99"/>
    <w:semiHidden/>
    <w:unhideWhenUsed/>
    <w:qFormat/>
    <w:rsid w:val="00a77d62"/>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66771d"/>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8079aa"/>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isco.com/en/US/tech/tk652/tk698/technologies_tech_note09186a0080094ae2.s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CB042-5B1D-422F-B15F-6D76DFB61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5</Pages>
  <Words>1252</Words>
  <Characters>6585</Characters>
  <CharactersWithSpaces>7752</CharactersWithSpaces>
  <Paragraphs>77</Paragraphs>
  <Company>Universidad Autónoma de Madrid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2017-02-26T10:51:00Z</dcterms:created>
  <dc:creator>jlopezv</dc:creator>
  <dc:description/>
  <dc:language>es-ES</dc:language>
  <cp:lastModifiedBy/>
  <cp:lastPrinted>2014-02-17T12:11:00Z</cp:lastPrinted>
  <dcterms:modified xsi:type="dcterms:W3CDTF">2020-02-24T08:46:38Z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Universidad Autónoma de Madrid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