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6.jpeg" ContentType="image/jpeg"/>
  <Override PartName="/word/media/image1.png" ContentType="image/png"/>
  <Override PartName="/word/media/image4.png" ContentType="image/png"/>
  <Override PartName="/word/media/image3.png" ContentType="image/png"/>
  <Override PartName="/word/media/image5.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Toc411429199"/>
      <w:bookmarkEnd w:id="0"/>
      <w:r>
        <w:rPr/>
        <w:t>Redes Multimedia– Prácticas 2020</w:t>
      </w:r>
    </w:p>
    <w:p>
      <w:pPr>
        <w:pStyle w:val="Titular"/>
        <w:rPr/>
      </w:pPr>
      <w:r>
        <w:rPr/>
        <w:t xml:space="preserve">Práctica 4: Ingeniería de tráfico </w:t>
      </w:r>
    </w:p>
    <w:p>
      <w:pPr>
        <w:pStyle w:val="Normal"/>
        <w:rPr/>
      </w:pPr>
      <w:r>
        <w:rPr/>
        <w:t>Turno y pareja: 2461_06</w:t>
      </w:r>
    </w:p>
    <w:p>
      <w:pPr>
        <w:pStyle w:val="Normal"/>
        <w:rPr/>
      </w:pPr>
      <w:r>
        <w:rPr/>
        <w:t>Integrantes:</w:t>
      </w:r>
    </w:p>
    <w:p>
      <w:pPr>
        <w:pStyle w:val="Normal"/>
        <w:rPr/>
      </w:pPr>
      <w:r>
        <w:rPr/>
        <w:tab/>
        <w:t>Pablo Díez del Pozo</w:t>
      </w:r>
    </w:p>
    <w:p>
      <w:pPr>
        <w:pStyle w:val="Normal"/>
        <w:rPr/>
      </w:pPr>
      <w:r>
        <w:rPr/>
        <w:tab/>
        <w:t>Alejandro Alcalá Álvarez</w:t>
      </w:r>
    </w:p>
    <w:p>
      <w:pPr>
        <w:pStyle w:val="Normal"/>
        <w:rPr/>
      </w:pPr>
      <w:r>
        <w:rPr/>
        <w:t>Fecha de entrega: 06 de mayo de 2020</w:t>
      </w:r>
    </w:p>
    <w:sdt>
      <w:sdtPr>
        <w:docPartObj>
          <w:docPartGallery w:val="Table of Contents"/>
          <w:docPartUnique w:val="true"/>
        </w:docPartObj>
        <w:id w:val="487648546"/>
      </w:sdtPr>
      <w:sdtContent>
        <w:p>
          <w:pPr>
            <w:pStyle w:val="TOCHeading"/>
            <w:rPr/>
          </w:pPr>
          <w:r>
            <w:rPr/>
            <w:t>Contenido</w:t>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340_1728926191">
            <w:r>
              <w:rPr>
                <w:webHidden/>
                <w:rStyle w:val="Enlacedelndice"/>
                <w:vanish w:val="false"/>
              </w:rPr>
              <w:t>1Introducción</w:t>
              <w:tab/>
              <w:t>2</w:t>
            </w:r>
          </w:hyperlink>
        </w:p>
        <w:p>
          <w:pPr>
            <w:pStyle w:val="Sumario1"/>
            <w:tabs>
              <w:tab w:val="right" w:pos="8504" w:leader="dot"/>
            </w:tabs>
            <w:rPr/>
          </w:pPr>
          <w:hyperlink w:anchor="__RefHeading___Toc342_1728926191">
            <w:r>
              <w:rPr>
                <w:webHidden/>
                <w:rStyle w:val="Enlacedelndice"/>
                <w:vanish w:val="false"/>
              </w:rPr>
              <w:t>2Realización de la práctica</w:t>
              <w:tab/>
              <w:t>2</w:t>
            </w:r>
          </w:hyperlink>
        </w:p>
        <w:p>
          <w:pPr>
            <w:pStyle w:val="Sumario1"/>
            <w:tabs>
              <w:tab w:val="right" w:pos="8504" w:leader="dot"/>
            </w:tabs>
            <w:rPr/>
          </w:pPr>
          <w:hyperlink w:anchor="__RefHeading___Toc344_1728926191">
            <w:r>
              <w:rPr>
                <w:webHidden/>
                <w:rStyle w:val="Enlacedelndice"/>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1" w:name="__RefHeading___Toc340_1728926191"/>
      <w:bookmarkStart w:id="2" w:name="_Toc447724964"/>
      <w:bookmarkEnd w:id="1"/>
      <w:bookmarkEnd w:id="2"/>
      <w:r>
        <w:rPr/>
        <w:t>Introducción</w:t>
      </w:r>
    </w:p>
    <w:p>
      <w:pPr>
        <w:pStyle w:val="Normal"/>
        <w:rPr/>
      </w:pPr>
      <w:r>
        <w:rPr>
          <w:highlight w:val="yellow"/>
        </w:rPr>
        <w:t>Escriba aquí una introducción al trabajo realizado en la práctica</w:t>
      </w:r>
      <w:r>
        <w:rPr/>
        <w:t>.</w:t>
      </w:r>
    </w:p>
    <w:p>
      <w:pPr>
        <w:pStyle w:val="Normal"/>
        <w:rPr/>
      </w:pPr>
      <w:r>
        <w:rPr/>
        <w:t>El objetivo de esta práctica es saber los mecanismos que existen en las redes multimedias para proporcionar control de calidad, donde vamos a aprender diferentes métodos y donde llegaremos a ver en esta práctica lo siguiente:</w:t>
      </w:r>
    </w:p>
    <w:p>
      <w:pPr>
        <w:pStyle w:val="Normal"/>
        <w:rPr/>
      </w:pPr>
      <w:r>
        <w:rPr/>
        <w:t>- Ver el funcionamiento de un token bucket.</w:t>
      </w:r>
    </w:p>
    <w:p>
      <w:pPr>
        <w:pStyle w:val="Normal"/>
        <w:rPr/>
      </w:pPr>
      <w:r>
        <w:rPr/>
        <w:t>- Ver como afecta el token bucket a los flujos multimedia por la red.</w:t>
      </w:r>
    </w:p>
    <w:p>
      <w:pPr>
        <w:pStyle w:val="Normal"/>
        <w:rPr/>
      </w:pPr>
      <w:r>
        <w:rPr/>
        <w:t>- Comparar la técnica de conformado de tráfico con la política de tráfico.</w:t>
      </w:r>
    </w:p>
    <w:p>
      <w:pPr>
        <w:pStyle w:val="Normal"/>
        <w:rPr/>
      </w:pPr>
      <w:r>
        <w:rPr/>
        <w:t>- Aplicar los conocimientos que hemos aprendido en prácticas anteriores para poder realizar un buen estudio de esta técnica.</w:t>
      </w:r>
    </w:p>
    <w:p>
      <w:pPr>
        <w:pStyle w:val="Ttulo1"/>
        <w:numPr>
          <w:ilvl w:val="0"/>
          <w:numId w:val="2"/>
        </w:numPr>
        <w:rPr/>
      </w:pPr>
      <w:bookmarkStart w:id="3" w:name="__RefHeading___Toc342_1728926191"/>
      <w:bookmarkStart w:id="4" w:name="_Toc411429201"/>
      <w:bookmarkStart w:id="5" w:name="_Toc447724965"/>
      <w:bookmarkStart w:id="6" w:name="_Toc4114291991"/>
      <w:bookmarkEnd w:id="3"/>
      <w:bookmarkEnd w:id="4"/>
      <w:bookmarkEnd w:id="5"/>
      <w:bookmarkEnd w:id="6"/>
      <w:r>
        <w:rPr/>
        <w:t>Realización de la práctica</w:t>
      </w:r>
    </w:p>
    <w:p>
      <w:pPr>
        <w:pStyle w:val="Ttulo2"/>
        <w:numPr>
          <w:ilvl w:val="0"/>
          <w:numId w:val="0"/>
        </w:numPr>
        <w:ind w:left="576" w:hanging="0"/>
        <w:rPr/>
      </w:pPr>
      <w:r>
        <w:rPr/>
      </w:r>
      <w:bookmarkStart w:id="7" w:name="_Toc410209332"/>
      <w:bookmarkStart w:id="8" w:name="_Toc447724966"/>
      <w:bookmarkStart w:id="9" w:name="_Toc410209332"/>
      <w:bookmarkStart w:id="10" w:name="_Toc447724966"/>
      <w:bookmarkEnd w:id="9"/>
      <w:bookmarkEnd w:id="10"/>
    </w:p>
    <w:p>
      <w:pPr>
        <w:pStyle w:val="ListParagraph"/>
        <w:numPr>
          <w:ilvl w:val="0"/>
          <w:numId w:val="3"/>
        </w:numPr>
        <w:ind w:left="720" w:hanging="360"/>
        <w:rPr/>
      </w:pPr>
      <w:bookmarkStart w:id="11" w:name="_Ref447716660"/>
      <w:r>
        <w:rPr/>
        <w:t xml:space="preserve">Estudie el código proporcionado, </w:t>
      </w:r>
      <w:r>
        <w:rPr>
          <w:rFonts w:cs="Consolas" w:ascii="Consolas" w:hAnsi="Consolas"/>
        </w:rPr>
        <w:t>emuladorTB.py</w:t>
      </w:r>
      <w:r>
        <w:rPr/>
        <w:t>. ¿Cuáles son los parámetros del algoritmo (</w:t>
      </w:r>
      <w:r>
        <w:rPr>
          <w:i/>
        </w:rPr>
        <w:t>b</w:t>
      </w:r>
      <w:r>
        <w:rPr/>
        <w:t xml:space="preserve"> y </w:t>
      </w:r>
      <w:r>
        <w:rPr>
          <w:i/>
        </w:rPr>
        <w:t>r</w:t>
      </w:r>
      <w:r>
        <w:rPr/>
        <w:t>) que se manejan para los distintos escenarios propuestos en el código? Indique el CIR en bits/s y MBS en bytes que se deberían alcanzar para el escenario que coincide con su número de pareja.</w:t>
      </w:r>
      <w:bookmarkEnd w:id="11"/>
      <w:r>
        <w:rPr/>
        <w:t xml:space="preserve"> (0,5 puntos)</w:t>
      </w:r>
    </w:p>
    <w:tbl>
      <w:tblPr>
        <w:tblStyle w:val="Tablaconcuadrcula"/>
        <w:tblW w:w="8683" w:type="dxa"/>
        <w:jc w:val="left"/>
        <w:tblInd w:w="-10" w:type="dxa"/>
        <w:tblCellMar>
          <w:top w:w="0" w:type="dxa"/>
          <w:left w:w="98" w:type="dxa"/>
          <w:bottom w:w="0" w:type="dxa"/>
          <w:right w:w="108" w:type="dxa"/>
        </w:tblCellMar>
        <w:tblLook w:noVBand="1" w:val="04a0" w:noHBand="0" w:lastColumn="0" w:firstColumn="1" w:lastRow="0" w:firstRow="1"/>
      </w:tblPr>
      <w:tblGrid>
        <w:gridCol w:w="2881"/>
        <w:gridCol w:w="2881"/>
        <w:gridCol w:w="2921"/>
      </w:tblGrid>
      <w:tr>
        <w:trPr/>
        <w:tc>
          <w:tcPr>
            <w:tcW w:w="8683" w:type="dxa"/>
            <w:gridSpan w:val="3"/>
            <w:tcBorders/>
            <w:shd w:fill="auto" w:val="clear"/>
          </w:tcPr>
          <w:p>
            <w:pPr>
              <w:pStyle w:val="Normal"/>
              <w:spacing w:lineRule="auto" w:line="240" w:before="0" w:after="0"/>
              <w:rPr/>
            </w:pPr>
            <w:r>
              <w:rPr>
                <w:highlight w:val="yellow"/>
              </w:rPr>
              <w:t>Explique aquí el funcionamiento del código.</w:t>
            </w:r>
          </w:p>
          <w:p>
            <w:pPr>
              <w:pStyle w:val="Normal"/>
              <w:spacing w:lineRule="auto" w:line="240" w:before="0" w:after="0"/>
              <w:rPr/>
            </w:pPr>
            <w:r>
              <w:rPr/>
              <w:t>El código está divido en dos hilos, que esto hilos se crean para que el funcionamiento del proceso principal no se sobrecarga y haga que esto influya a la hora del funcionamiento del Token Bucket. El primer hilo consiste en llenar el cubo → este hilo se encarga de introducir fichas en el cubo a la tasa que se corresponda con el escenario seleccionado.</w:t>
            </w:r>
          </w:p>
          <w:p>
            <w:pPr>
              <w:pStyle w:val="Normal"/>
              <w:spacing w:lineRule="auto" w:line="240"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8185" cy="24098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528185" cy="240982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En el segundo hilo → se encarga de enviar el paquete al servidor, donde se cogen de una cola que hemos creado con anterioridad. Este hilo también se encarga de quitar del cubo los bytes que hemos utilizado.</w:t>
            </w:r>
          </w:p>
          <w:p>
            <w:pPr>
              <w:pStyle w:val="Normal"/>
              <w:spacing w:lineRule="auto" w:line="240" w:before="0" w:after="0"/>
              <w:rPr/>
            </w:pPr>
            <w:r>
              <w:rPr/>
              <w:drawing>
                <wp:anchor behindDoc="0" distT="0" distB="0" distL="0" distR="0" simplePos="0" locked="0" layoutInCell="1" allowOverlap="1" relativeHeight="3">
                  <wp:simplePos x="0" y="0"/>
                  <wp:positionH relativeFrom="column">
                    <wp:posOffset>436245</wp:posOffset>
                  </wp:positionH>
                  <wp:positionV relativeFrom="paragraph">
                    <wp:posOffset>28575</wp:posOffset>
                  </wp:positionV>
                  <wp:extent cx="4646930" cy="20751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646930" cy="207518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Por parámetros introducimos la IP y puerto que recibimos paquetes, y también introducimos la IP y puerto que enviamos los paquetes que hemos recibido del cliente.</w:t>
            </w:r>
          </w:p>
          <w:p>
            <w:pPr>
              <w:pStyle w:val="Normal"/>
              <w:spacing w:lineRule="auto" w:line="240" w:before="0" w:after="0"/>
              <w:rPr/>
            </w:pPr>
            <w:r>
              <w:rPr/>
              <w:t>Como podemos observar tenemos diferentes escenarios con distintos llenados del cubo y distintos tamaños.</w:t>
            </w:r>
          </w:p>
          <w:p>
            <w:pPr>
              <w:pStyle w:val="Normal"/>
              <w:spacing w:lineRule="auto" w:line="240" w:before="0" w:after="0"/>
              <w:rPr/>
            </w:pPr>
            <w:r>
              <w:rPr/>
              <w:drawing>
                <wp:anchor behindDoc="0" distT="0" distB="0" distL="0" distR="0" simplePos="0" locked="0" layoutInCell="1" allowOverlap="1" relativeHeight="4">
                  <wp:simplePos x="0" y="0"/>
                  <wp:positionH relativeFrom="column">
                    <wp:posOffset>0</wp:posOffset>
                  </wp:positionH>
                  <wp:positionV relativeFrom="paragraph">
                    <wp:posOffset>76835</wp:posOffset>
                  </wp:positionV>
                  <wp:extent cx="5379720" cy="4635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79720" cy="463550"/>
                          </a:xfrm>
                          <a:prstGeom prst="rect">
                            <a:avLst/>
                          </a:prstGeom>
                        </pic:spPr>
                      </pic:pic>
                    </a:graphicData>
                  </a:graphic>
                </wp:anchor>
              </w:drawing>
            </w:r>
          </w:p>
          <w:p>
            <w:pPr>
              <w:pStyle w:val="Normal"/>
              <w:spacing w:lineRule="auto" w:line="240" w:before="0" w:after="0"/>
              <w:rPr/>
            </w:pPr>
            <w:r>
              <w:rPr/>
              <w:t>El emulador esta escuchando todo el rato por si recibe paquetes del cliente y los encola en una cola creada para que lo utilice el Token Bucket.</w:t>
            </w:r>
          </w:p>
          <w:p>
            <w:pPr>
              <w:pStyle w:val="Normal"/>
              <w:spacing w:lineRule="auto" w:line="240" w:before="0" w:after="0"/>
              <w:rPr/>
            </w:pPr>
            <w:r>
              <w:rPr/>
              <w:drawing>
                <wp:anchor behindDoc="0" distT="0" distB="0" distL="0" distR="0" simplePos="0" locked="0" layoutInCell="1" allowOverlap="1" relativeHeight="5">
                  <wp:simplePos x="0" y="0"/>
                  <wp:positionH relativeFrom="column">
                    <wp:posOffset>0</wp:posOffset>
                  </wp:positionH>
                  <wp:positionV relativeFrom="paragraph">
                    <wp:posOffset>95885</wp:posOffset>
                  </wp:positionV>
                  <wp:extent cx="5379720" cy="73152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379720" cy="73152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tc>
      </w:tr>
      <w:tr>
        <w:trPr/>
        <w:tc>
          <w:tcPr>
            <w:tcW w:w="8683" w:type="dxa"/>
            <w:gridSpan w:val="3"/>
            <w:tcBorders/>
            <w:shd w:fill="auto" w:val="clear"/>
          </w:tcPr>
          <w:p>
            <w:pPr>
              <w:pStyle w:val="Normal"/>
              <w:spacing w:lineRule="auto" w:line="240" w:before="0" w:after="0"/>
              <w:rPr/>
            </w:pPr>
            <w:r>
              <w:rPr>
                <w:highlight w:val="yellow"/>
              </w:rPr>
              <w:t xml:space="preserve">Explique aquí  cómo obtiene el CIR en bits/s y el MBS en bytes a partir de la información existente en el código. </w:t>
            </w:r>
          </w:p>
          <w:p>
            <w:pPr>
              <w:pStyle w:val="Normal"/>
              <w:spacing w:lineRule="auto" w:line="240" w:before="0" w:after="0"/>
              <w:rPr/>
            </w:pPr>
            <w:r>
              <w:rPr/>
              <w:t>El cálculo del CIR en bits/s es el siguiente:</w:t>
            </w:r>
          </w:p>
          <w:p>
            <w:pPr>
              <w:pStyle w:val="Normal"/>
              <w:spacing w:lineRule="auto" w:line="240" w:before="0" w:after="0"/>
              <w:rPr>
                <w:highlight w:val="yellow"/>
              </w:rPr>
            </w:pPr>
            <w:r>
              <w:rPr/>
            </w:r>
          </w:p>
          <w:p>
            <w:pPr>
              <w:pStyle w:val="Normal"/>
              <w:spacing w:lineRule="auto" w:line="240" w:before="0" w:after="0"/>
              <w:jc w:val="center"/>
              <w:rPr/>
            </w:pPr>
            <w:r>
              <w:rPr/>
            </w:r>
            <m:oMath xmlns:m="http://schemas.openxmlformats.org/officeDocument/2006/math">
              <m:f>
                <m:fPr>
                  <m:type m:val="lin"/>
                </m:fPr>
                <m:num>
                  <m:r>
                    <w:rPr>
                      <w:rFonts w:ascii="Cambria Math" w:hAnsi="Cambria Math"/>
                    </w:rPr>
                    <m:t xml:space="preserve">tokens</m:t>
                  </m:r>
                </m:num>
                <m:den>
                  <m:r>
                    <w:rPr>
                      <w:rFonts w:ascii="Cambria Math" w:hAnsi="Cambria Math"/>
                    </w:rPr>
                    <m:t xml:space="preserve">seg</m:t>
                  </m:r>
                </m:den>
              </m:f>
              <m:r>
                <w:rPr>
                  <w:rFonts w:ascii="Cambria Math" w:hAnsi="Cambria Math"/>
                </w:rPr>
                <m:t xml:space="preserve">=</m:t>
              </m:r>
              <m:r>
                <w:rPr>
                  <w:rFonts w:ascii="Cambria Math" w:hAnsi="Cambria Math"/>
                </w:rPr>
                <m:t xml:space="preserve">200</m:t>
              </m:r>
              <m:f>
                <m:fPr>
                  <m:type m:val="lin"/>
                </m:fPr>
                <m:num>
                  <m:r>
                    <w:rPr>
                      <w:rFonts w:ascii="Cambria Math" w:hAnsi="Cambria Math"/>
                    </w:rPr>
                    <m:t xml:space="preserve">adciones</m:t>
                  </m:r>
                </m:num>
                <m:den>
                  <m:r>
                    <w:rPr>
                      <w:rFonts w:ascii="Cambria Math" w:hAnsi="Cambria Math"/>
                    </w:rPr>
                    <m:t xml:space="preserve">seg</m:t>
                  </m:r>
                </m:den>
              </m:f>
              <m:r>
                <w:rPr>
                  <w:rFonts w:ascii="Cambria Math" w:hAnsi="Cambria Math"/>
                </w:rPr>
                <m:t xml:space="preserve">×</m:t>
              </m:r>
              <m:r>
                <w:rPr>
                  <w:rFonts w:ascii="Cambria Math" w:hAnsi="Cambria Math"/>
                </w:rPr>
                <m:t xml:space="preserve">1500</m:t>
              </m:r>
              <m:r>
                <w:rPr>
                  <w:rFonts w:ascii="Cambria Math" w:hAnsi="Cambria Math"/>
                </w:rPr>
                <m:t xml:space="preserve">tokens</m:t>
              </m:r>
              <m:r>
                <w:rPr>
                  <w:rFonts w:ascii="Cambria Math" w:hAnsi="Cambria Math"/>
                </w:rPr>
                <m:t xml:space="preserve">=</m:t>
              </m:r>
              <m:r>
                <w:rPr>
                  <w:rFonts w:ascii="Cambria Math" w:hAnsi="Cambria Math"/>
                </w:rPr>
                <m:t xml:space="preserve">300000</m:t>
              </m:r>
              <m:f>
                <m:fPr>
                  <m:type m:val="lin"/>
                </m:fPr>
                <m:num>
                  <m:r>
                    <w:rPr>
                      <w:rFonts w:ascii="Cambria Math" w:hAnsi="Cambria Math"/>
                    </w:rPr>
                    <m:t xml:space="preserve">tokens</m:t>
                  </m:r>
                </m:num>
                <m:den>
                  <m:r>
                    <w:rPr>
                      <w:rFonts w:ascii="Cambria Math" w:hAnsi="Cambria Math"/>
                    </w:rPr>
                    <m:t xml:space="preserve">seg</m:t>
                  </m:r>
                </m:den>
              </m:f>
            </m:oMath>
          </w:p>
          <w:p>
            <w:pPr>
              <w:pStyle w:val="Normal"/>
              <w:spacing w:lineRule="auto" w:line="240" w:before="0" w:after="0"/>
              <w:jc w:val="center"/>
              <w:rPr/>
            </w:pPr>
            <w:r>
              <w:rPr/>
            </w:r>
            <m:oMath xmlns:m="http://schemas.openxmlformats.org/officeDocument/2006/math">
              <m:r>
                <w:rPr>
                  <w:rFonts w:ascii="Cambria Math" w:hAnsi="Cambria Math"/>
                </w:rPr>
                <m:t xml:space="preserve">CIR</m:t>
              </m:r>
              <m:d>
                <m:dPr>
                  <m:begChr m:val="("/>
                  <m:endChr m:val=")"/>
                </m:dPr>
                <m:e>
                  <m:f>
                    <m:fPr>
                      <m:type m:val="lin"/>
                    </m:fPr>
                    <m:num>
                      <m:r>
                        <w:rPr>
                          <w:rFonts w:ascii="Cambria Math" w:hAnsi="Cambria Math"/>
                        </w:rPr>
                        <m:t xml:space="preserve">bits</m:t>
                      </m:r>
                    </m:num>
                    <m:den>
                      <m:r>
                        <w:rPr>
                          <w:rFonts w:ascii="Cambria Math" w:hAnsi="Cambria Math"/>
                        </w:rPr>
                        <m:t xml:space="preserve">s</m:t>
                      </m:r>
                    </m:den>
                  </m:f>
                </m:e>
              </m:d>
              <m:r>
                <w:rPr>
                  <w:rFonts w:ascii="Cambria Math" w:hAnsi="Cambria Math"/>
                </w:rPr>
                <m:t xml:space="preserve">=</m:t>
              </m:r>
              <m:r>
                <w:rPr>
                  <w:rFonts w:ascii="Cambria Math" w:hAnsi="Cambria Math"/>
                </w:rPr>
                <m:t xml:space="preserve">300000</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2400000</m:t>
              </m:r>
              <m:f>
                <m:fPr>
                  <m:type m:val="lin"/>
                </m:fPr>
                <m:num>
                  <m:r>
                    <w:rPr>
                      <w:rFonts w:ascii="Cambria Math" w:hAnsi="Cambria Math"/>
                    </w:rPr>
                    <m:t xml:space="preserve">bits</m:t>
                  </m:r>
                </m:num>
                <m:den>
                  <m:r>
                    <w:rPr>
                      <w:rFonts w:ascii="Cambria Math" w:hAnsi="Cambria Math"/>
                    </w:rPr>
                    <m:t xml:space="preserve">s</m:t>
                  </m:r>
                </m:den>
              </m:f>
            </m:oMath>
          </w:p>
          <w:p>
            <w:pPr>
              <w:pStyle w:val="Normal"/>
              <w:spacing w:lineRule="auto" w:line="240" w:before="0" w:after="0"/>
              <w:jc w:val="center"/>
              <w:rPr/>
            </w:pPr>
            <w:r>
              <w:rPr/>
            </w:r>
            <m:oMath xmlns:m="http://schemas.openxmlformats.org/officeDocument/2006/math">
              <m:r>
                <w:rPr>
                  <w:rFonts w:ascii="Cambria Math" w:hAnsi="Cambria Math"/>
                </w:rPr>
                <m:t xml:space="preserve">CIR</m:t>
              </m:r>
              <m:d>
                <m:dPr>
                  <m:begChr m:val="("/>
                  <m:endChr m:val=")"/>
                </m:dPr>
                <m:e>
                  <m:f>
                    <m:fPr>
                      <m:type m:val="lin"/>
                    </m:fPr>
                    <m:num>
                      <m:r>
                        <w:rPr>
                          <w:rFonts w:ascii="Cambria Math" w:hAnsi="Cambria Math"/>
                        </w:rPr>
                        <m:t xml:space="preserve">Kbits</m:t>
                      </m:r>
                    </m:num>
                    <m:den>
                      <m:r>
                        <w:rPr>
                          <w:rFonts w:ascii="Cambria Math" w:hAnsi="Cambria Math"/>
                        </w:rPr>
                        <m:t xml:space="preserve">seg</m:t>
                      </m:r>
                    </m:den>
                  </m:f>
                </m:e>
              </m:d>
              <m:r>
                <w:rPr>
                  <w:rFonts w:ascii="Cambria Math" w:hAnsi="Cambria Math"/>
                </w:rPr>
                <m:t xml:space="preserve">=</m:t>
              </m:r>
              <m:r>
                <w:rPr>
                  <w:rFonts w:ascii="Cambria Math" w:hAnsi="Cambria Math"/>
                </w:rPr>
                <m:t xml:space="preserve">2400</m:t>
              </m:r>
              <m:f>
                <m:fPr>
                  <m:type m:val="lin"/>
                </m:fPr>
                <m:num>
                  <m:r>
                    <w:rPr>
                      <w:rFonts w:ascii="Cambria Math" w:hAnsi="Cambria Math"/>
                    </w:rPr>
                    <m:t xml:space="preserve">Kbits</m:t>
                  </m:r>
                </m:num>
                <m:den>
                  <m:r>
                    <w:rPr>
                      <w:rFonts w:ascii="Cambria Math" w:hAnsi="Cambria Math"/>
                    </w:rPr>
                    <m:t xml:space="preserve">seg</m:t>
                  </m:r>
                </m:den>
              </m:f>
              <m:r>
                <w:rPr>
                  <w:rFonts w:ascii="Cambria Math" w:hAnsi="Cambria Math"/>
                </w:rPr>
                <m:t xml:space="preserve">=</m:t>
              </m:r>
              <m:r>
                <w:rPr>
                  <w:rFonts w:ascii="Cambria Math" w:hAnsi="Cambria Math"/>
                </w:rPr>
                <m:t xml:space="preserve">2,4</m:t>
              </m:r>
              <m:f>
                <m:fPr>
                  <m:type m:val="lin"/>
                </m:fPr>
                <m:num>
                  <m:r>
                    <w:rPr>
                      <w:rFonts w:ascii="Cambria Math" w:hAnsi="Cambria Math"/>
                    </w:rPr>
                    <m:t xml:space="preserve">Mb</m:t>
                  </m:r>
                </m:num>
                <m:den>
                  <m:r>
                    <w:rPr>
                      <w:rFonts w:ascii="Cambria Math" w:hAnsi="Cambria Math"/>
                    </w:rPr>
                    <m:t xml:space="preserve">s</m:t>
                  </m:r>
                </m:den>
              </m:f>
            </m:oMath>
          </w:p>
          <w:p>
            <w:pPr>
              <w:pStyle w:val="Normal"/>
              <w:spacing w:lineRule="auto" w:line="240" w:before="0" w:after="0"/>
              <w:jc w:val="center"/>
              <w:rPr>
                <w:highlight w:val="yellow"/>
              </w:rPr>
            </w:pPr>
            <w:r>
              <w:rPr>
                <w:highlight w:val="yellow"/>
              </w:rPr>
            </w:r>
          </w:p>
          <w:p>
            <w:pPr>
              <w:pStyle w:val="Normal"/>
              <w:spacing w:lineRule="auto" w:line="240" w:before="0" w:after="0"/>
              <w:jc w:val="left"/>
              <w:rPr/>
            </w:pPr>
            <w:r>
              <w:rPr/>
              <w:t>El MBS se coge de la lista de TAMANO_CUBO y lo escogemos de la posición seis de esta lista que sería de 10000 bytes.</w:t>
            </w:r>
          </w:p>
        </w:tc>
      </w:tr>
      <w:tr>
        <w:trPr/>
        <w:tc>
          <w:tcPr>
            <w:tcW w:w="2881" w:type="dxa"/>
            <w:tcBorders/>
            <w:shd w:fill="auto" w:val="clear"/>
          </w:tcPr>
          <w:p>
            <w:pPr>
              <w:pStyle w:val="Normal"/>
              <w:spacing w:lineRule="auto" w:line="240" w:before="0" w:after="0"/>
              <w:rPr>
                <w:b/>
                <w:b/>
              </w:rPr>
            </w:pPr>
            <w:r>
              <w:rPr>
                <w:b/>
              </w:rPr>
              <w:t>Escenario</w:t>
            </w:r>
          </w:p>
        </w:tc>
        <w:tc>
          <w:tcPr>
            <w:tcW w:w="2881" w:type="dxa"/>
            <w:tcBorders/>
            <w:shd w:fill="auto" w:val="clear"/>
          </w:tcPr>
          <w:p>
            <w:pPr>
              <w:pStyle w:val="Normal"/>
              <w:spacing w:lineRule="auto" w:line="240" w:before="0" w:after="0"/>
              <w:rPr>
                <w:b/>
                <w:b/>
              </w:rPr>
            </w:pPr>
            <w:r>
              <w:rPr>
                <w:b/>
              </w:rPr>
              <w:t>CIR</w:t>
            </w:r>
          </w:p>
        </w:tc>
        <w:tc>
          <w:tcPr>
            <w:tcW w:w="2921" w:type="dxa"/>
            <w:tcBorders/>
            <w:shd w:fill="auto" w:val="clear"/>
          </w:tcPr>
          <w:p>
            <w:pPr>
              <w:pStyle w:val="Normal"/>
              <w:spacing w:lineRule="auto" w:line="240" w:before="0" w:after="0"/>
              <w:rPr>
                <w:b/>
                <w:b/>
              </w:rPr>
            </w:pPr>
            <w:r>
              <w:rPr>
                <w:b/>
              </w:rPr>
              <w:t>MBS</w:t>
            </w:r>
          </w:p>
        </w:tc>
      </w:tr>
      <w:tr>
        <w:trPr/>
        <w:tc>
          <w:tcPr>
            <w:tcW w:w="2881" w:type="dxa"/>
            <w:tcBorders/>
            <w:shd w:fill="auto" w:val="clear"/>
          </w:tcPr>
          <w:p>
            <w:pPr>
              <w:pStyle w:val="Normal"/>
              <w:spacing w:lineRule="auto" w:line="240" w:before="0" w:after="0"/>
              <w:rPr/>
            </w:pPr>
            <w:r>
              <w:rPr/>
              <w:t>6</w:t>
            </w:r>
          </w:p>
        </w:tc>
        <w:tc>
          <w:tcPr>
            <w:tcW w:w="2881" w:type="dxa"/>
            <w:tcBorders/>
            <w:shd w:fill="auto" w:val="clear"/>
          </w:tcPr>
          <w:p>
            <w:pPr>
              <w:pStyle w:val="Normal"/>
              <w:spacing w:lineRule="auto" w:line="240" w:before="0" w:after="0"/>
              <w:rPr/>
            </w:pPr>
            <w:r>
              <w:rPr/>
              <w:t>2400000</w:t>
            </w:r>
            <w:r>
              <w:rPr/>
              <w:t xml:space="preserve"> bits/s</w:t>
            </w:r>
          </w:p>
        </w:tc>
        <w:tc>
          <w:tcPr>
            <w:tcW w:w="2921" w:type="dxa"/>
            <w:tcBorders/>
            <w:shd w:fill="auto" w:val="clear"/>
          </w:tcPr>
          <w:p>
            <w:pPr>
              <w:pStyle w:val="Normal"/>
              <w:spacing w:lineRule="auto" w:line="240" w:before="0" w:after="0"/>
              <w:rPr/>
            </w:pPr>
            <w:r>
              <w:rPr/>
              <w:t>10000 bytes</w:t>
            </w:r>
          </w:p>
        </w:tc>
      </w:tr>
    </w:tbl>
    <w:p>
      <w:pPr>
        <w:pStyle w:val="Normal"/>
        <w:rPr/>
      </w:pPr>
      <w:r>
        <w:rPr/>
      </w:r>
    </w:p>
    <w:p>
      <w:pPr>
        <w:pStyle w:val="ListParagraph"/>
        <w:numPr>
          <w:ilvl w:val="0"/>
          <w:numId w:val="3"/>
        </w:numPr>
        <w:ind w:left="720" w:hanging="360"/>
        <w:rPr/>
      </w:pPr>
      <w:bookmarkStart w:id="12" w:name="_Ref447724998"/>
      <w:r>
        <w:rPr/>
        <w:t xml:space="preserve">Utilice el </w:t>
      </w:r>
      <w:r>
        <w:rPr>
          <w:rFonts w:cs="Consolas" w:ascii="Consolas" w:hAnsi="Consolas"/>
        </w:rPr>
        <w:t>clienteTren2.py</w:t>
      </w:r>
      <w:r>
        <w:rPr/>
        <w:t xml:space="preserve"> que se facilita para esta práctica, que es equivalente al clienteTren2 solicitado en la práctica 2, en el que se puede limitar la tasa de transmisión en Kbit/s. Ejecute el </w:t>
      </w:r>
      <w:r>
        <w:rPr>
          <w:rFonts w:cs="Consolas" w:ascii="Consolas" w:hAnsi="Consolas"/>
        </w:rPr>
        <w:t>emuladorTB.py</w:t>
      </w:r>
      <w:bookmarkEnd w:id="12"/>
      <w:r>
        <w:rPr/>
        <w:t xml:space="preserve"> utilizando el número de escenario que coincide con su número de pareja, transmita un tren de 1000 paquetes de 1460 bytes de datos de RTP, limitando la tasa al (1) CIR calculado previamente y (2) 10.000 Kbit/s.</w:t>
      </w:r>
    </w:p>
    <w:p>
      <w:pPr>
        <w:pStyle w:val="ListParagraph"/>
        <w:numPr>
          <w:ilvl w:val="1"/>
          <w:numId w:val="4"/>
        </w:numPr>
        <w:rPr/>
      </w:pPr>
      <w:r>
        <w:rPr/>
        <w:t xml:space="preserve">Capture el tráfico del emulador con Wireshark, cara a realizar medidas de ancho de banda y retardo, como ya realizó en la práctica 2. Represente con la función IOgraph de Wireshark el caudal </w:t>
      </w:r>
      <w:r>
        <w:rPr>
          <w:b/>
          <w:u w:val="single"/>
        </w:rPr>
        <w:t>en bits/s</w:t>
      </w:r>
      <w:r>
        <w:rPr/>
        <w:t xml:space="preserve"> consumido por los 1000 paquetes a lo largo del tiempo, tanto a la entrada como a la salida del emulador (</w:t>
      </w:r>
      <w:r>
        <w:rPr>
          <w:u w:val="single"/>
        </w:rPr>
        <w:t>ambos flujos se pueden diferenciar fácilmente según su puerto de destino, excluyendo el tráfico ICMP</w:t>
      </w:r>
      <w:r>
        <w:rPr/>
        <w:t>). Explique los resultados obtenidos. (3 puntos).</w:t>
      </w:r>
    </w:p>
    <w:p>
      <w:pPr>
        <w:pStyle w:val="Normal"/>
        <w:rPr/>
      </w:pPr>
      <w:r>
        <w:rPr>
          <w:u w:val="single"/>
        </w:rPr>
        <w:t xml:space="preserve">Escenario </w:t>
      </w:r>
      <w:r>
        <w:rPr>
          <w:u w:val="single"/>
        </w:rPr>
        <w:t>6</w:t>
      </w:r>
      <w:r>
        <w:rPr>
          <w:u w:val="single"/>
        </w:rPr>
        <w:t>, limitación al CIR</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jc w:val="center"/>
              <w:rPr>
                <w:b/>
                <w:b/>
                <w:bCs/>
                <w:u w:val="single"/>
              </w:rPr>
            </w:pPr>
            <w:r>
              <w:rPr>
                <w:b/>
                <w:bCs/>
                <w:u w:val="single"/>
              </w:rPr>
              <w:t>ANTES DEL EMULADOR</w:t>
            </w:r>
          </w:p>
          <w:p>
            <w:pPr>
              <w:pStyle w:val="Normal"/>
              <w:spacing w:lineRule="auto" w:line="240" w:before="0" w:after="0"/>
              <w:jc w:val="left"/>
              <w:rPr>
                <w:b w:val="false"/>
                <w:b w:val="false"/>
                <w:bCs w:val="false"/>
                <w:u w:val="none"/>
              </w:rPr>
            </w:pPr>
            <w:r>
              <w:rPr>
                <w:b w:val="false"/>
                <w:bCs w:val="false"/>
                <w:u w:val="no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54955" cy="2735580"/>
                  <wp:effectExtent l="0" t="0" r="0" b="0"/>
                  <wp:wrapSquare wrapText="largest"/>
                  <wp:docPr id="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1" descr=""/>
                          <pic:cNvPicPr>
                            <a:picLocks noChangeAspect="1" noChangeArrowheads="1"/>
                          </pic:cNvPicPr>
                        </pic:nvPicPr>
                        <pic:blipFill>
                          <a:blip r:embed="rId6"/>
                          <a:stretch>
                            <a:fillRect/>
                          </a:stretch>
                        </pic:blipFill>
                        <pic:spPr bwMode="auto">
                          <a:xfrm>
                            <a:off x="0" y="0"/>
                            <a:ext cx="5354955" cy="2735580"/>
                          </a:xfrm>
                          <a:prstGeom prst="rect">
                            <a:avLst/>
                          </a:prstGeom>
                        </pic:spPr>
                      </pic:pic>
                    </a:graphicData>
                  </a:graphic>
                </wp:anchor>
              </w:drawing>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t>DESPUÉS DEL EMULADOR</w:t>
            </w:r>
          </w:p>
          <w:p>
            <w:pPr>
              <w:pStyle w:val="Normal"/>
              <w:spacing w:lineRule="auto" w:line="240" w:before="0" w:after="0"/>
              <w:jc w:val="left"/>
              <w:rPr>
                <w:b w:val="false"/>
                <w:b w:val="false"/>
                <w:bCs w:val="false"/>
                <w:u w:val="none"/>
              </w:rPr>
            </w:pPr>
            <w:r>
              <w:rPr>
                <w:b w:val="false"/>
                <w:bCs w:val="false"/>
                <w:u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54955" cy="2735580"/>
                  <wp:effectExtent l="0" t="0" r="0" b="0"/>
                  <wp:wrapSquare wrapText="largest"/>
                  <wp:docPr id="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2" descr=""/>
                          <pic:cNvPicPr>
                            <a:picLocks noChangeAspect="1" noChangeArrowheads="1"/>
                          </pic:cNvPicPr>
                        </pic:nvPicPr>
                        <pic:blipFill>
                          <a:blip r:embed="rId7"/>
                          <a:stretch>
                            <a:fillRect/>
                          </a:stretch>
                        </pic:blipFill>
                        <pic:spPr bwMode="auto">
                          <a:xfrm>
                            <a:off x="0" y="0"/>
                            <a:ext cx="5354955" cy="2735580"/>
                          </a:xfrm>
                          <a:prstGeom prst="rect">
                            <a:avLst/>
                          </a:prstGeom>
                        </pic:spPr>
                      </pic:pic>
                    </a:graphicData>
                  </a:graphic>
                </wp:anchor>
              </w:drawing>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Indique qué filtro de visualización ha utilizado para representar cada caso.</w:t>
            </w:r>
          </w:p>
          <w:p>
            <w:pPr>
              <w:pStyle w:val="Normal"/>
              <w:spacing w:lineRule="auto" w:line="240" w:before="0" w:after="0"/>
              <w:rPr/>
            </w:pPr>
            <w:r>
              <w:rPr/>
              <w:t>El filtro que hemos utilizado son los siguientes:</w:t>
            </w:r>
          </w:p>
          <w:p>
            <w:pPr>
              <w:pStyle w:val="Normal"/>
              <w:spacing w:lineRule="auto" w:line="240" w:before="0" w:after="0"/>
              <w:rPr/>
            </w:pPr>
            <w:r>
              <w:rPr/>
              <w:t>- Para el tráfico para la entrada del emulador es el siguiente: udp.dstport == 5004, debido a que el emulador recibe los paquete a ese puerto.</w:t>
            </w:r>
          </w:p>
          <w:p>
            <w:pPr>
              <w:pStyle w:val="Normal"/>
              <w:spacing w:lineRule="auto" w:line="240" w:before="0" w:after="0"/>
              <w:rPr/>
            </w:pPr>
            <w:r>
              <w:rPr/>
              <w:t>- Para el tráfico para la salida del emulador es la siguiente: udp.dstport == 5005, debido a que es donde envía el emulador al servidor.</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Explique aquí los resultados obtenidos en la gráfica.</w:t>
            </w:r>
          </w:p>
          <w:p>
            <w:pPr>
              <w:pStyle w:val="Normal"/>
              <w:spacing w:lineRule="auto" w:line="240" w:before="0" w:after="0"/>
              <w:rPr/>
            </w:pPr>
            <w:r>
              <w:rPr/>
              <w:t>Los resultados son los esperados, debido a que los paquetes no se encolan y los paquetes van llegando al emulador y van saliendo al mismo ritmo que van entrando en el Token Bucket, debido a que no excedemos la tasa máxima a la que puede enviar los paquetes.</w:t>
            </w:r>
          </w:p>
          <w:p>
            <w:pPr>
              <w:pStyle w:val="Normal"/>
              <w:spacing w:lineRule="auto" w:line="240" w:before="0" w:after="0"/>
              <w:rPr>
                <w:highlight w:val="yellow"/>
              </w:rPr>
            </w:pPr>
            <w:r>
              <w:rPr>
                <w:highlight w:val="yellow"/>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u w:val="single"/>
        </w:rPr>
        <w:t>Escenario 6, limitación a 10 Mbps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rPr/>
            </w:pPr>
            <w:r>
              <w:rPr/>
            </w:r>
          </w:p>
          <w:p>
            <w:pPr>
              <w:pStyle w:val="Normal"/>
              <w:spacing w:lineRule="auto" w:line="240" w:before="0" w:after="0"/>
              <w:jc w:val="center"/>
              <w:rPr>
                <w:b/>
                <w:b/>
                <w:bCs/>
                <w:u w:val="single"/>
              </w:rPr>
            </w:pPr>
            <w:r>
              <w:rPr>
                <w:b/>
                <w:bCs/>
                <w:u w:val="single"/>
              </w:rPr>
              <w:t>Entrada al emulador Token Bucket</w:t>
            </w:r>
          </w:p>
          <w:p>
            <w:pPr>
              <w:pStyle w:val="Normal"/>
              <w:spacing w:lineRule="auto" w:line="240" w:before="0" w:after="0"/>
              <w:jc w:val="center"/>
              <w:rPr>
                <w:b/>
                <w:b/>
                <w:bCs/>
                <w:u w:val="single"/>
              </w:rPr>
            </w:pPr>
            <w:r>
              <w:rPr>
                <w:b/>
                <w:bCs/>
                <w:u w:val="single"/>
              </w:rPr>
              <w:drawing>
                <wp:anchor behindDoc="0" distT="0" distB="0" distL="0" distR="0" simplePos="0" locked="0" layoutInCell="1" allowOverlap="1" relativeHeight="10">
                  <wp:simplePos x="0" y="0"/>
                  <wp:positionH relativeFrom="column">
                    <wp:posOffset>0</wp:posOffset>
                  </wp:positionH>
                  <wp:positionV relativeFrom="paragraph">
                    <wp:posOffset>154940</wp:posOffset>
                  </wp:positionV>
                  <wp:extent cx="5354955" cy="2735580"/>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5354955" cy="2735580"/>
                          </a:xfrm>
                          <a:prstGeom prst="rect">
                            <a:avLst/>
                          </a:prstGeom>
                        </pic:spPr>
                      </pic:pic>
                    </a:graphicData>
                  </a:graphic>
                </wp:anchor>
              </w:drawing>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t>Salida del emulador Token Bucket</w:t>
            </w:r>
          </w:p>
          <w:p>
            <w:pPr>
              <w:pStyle w:val="Normal"/>
              <w:spacing w:lineRule="auto" w:line="240" w:before="0" w:after="0"/>
              <w:jc w:val="center"/>
              <w:rPr>
                <w:b/>
                <w:b/>
                <w:bCs/>
                <w:u w:val="single"/>
              </w:rPr>
            </w:pPr>
            <w:r>
              <w:rPr>
                <w:b/>
                <w:bCs/>
                <w:u w:val="single"/>
              </w:rPr>
            </w:r>
          </w:p>
          <w:p>
            <w:pPr>
              <w:pStyle w:val="Normal"/>
              <w:spacing w:lineRule="auto" w:line="240" w:before="0" w:after="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54955" cy="2735580"/>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9"/>
                          <a:stretch>
                            <a:fillRect/>
                          </a:stretch>
                        </pic:blipFill>
                        <pic:spPr bwMode="auto">
                          <a:xfrm>
                            <a:off x="0" y="0"/>
                            <a:ext cx="5354955" cy="2735580"/>
                          </a:xfrm>
                          <a:prstGeom prst="rect">
                            <a:avLst/>
                          </a:prstGeom>
                        </pic:spPr>
                      </pic:pic>
                    </a:graphicData>
                  </a:graphic>
                </wp:anchor>
              </w:drawing>
            </w:r>
          </w:p>
        </w:tc>
      </w:tr>
      <w:tr>
        <w:trPr/>
        <w:tc>
          <w:tcPr>
            <w:tcW w:w="8644" w:type="dxa"/>
            <w:tcBorders/>
            <w:shd w:fill="auto" w:val="clear"/>
          </w:tcPr>
          <w:p>
            <w:pPr>
              <w:pStyle w:val="Normal"/>
              <w:spacing w:lineRule="auto" w:line="240" w:before="0" w:after="0"/>
              <w:rPr/>
            </w:pPr>
            <w:r>
              <w:rPr>
                <w:highlight w:val="yellow"/>
              </w:rPr>
              <w:t>Indique qué filtro de visualización ha utilizado para representar cada caso.</w:t>
            </w:r>
          </w:p>
          <w:p>
            <w:pPr>
              <w:pStyle w:val="Normal"/>
              <w:spacing w:lineRule="auto" w:line="240" w:before="0" w:after="0"/>
              <w:rPr/>
            </w:pPr>
            <w:r>
              <w:rPr/>
              <w:t>El filtro que hemos utilizado son los siguientes:</w:t>
            </w:r>
          </w:p>
          <w:p>
            <w:pPr>
              <w:pStyle w:val="Normal"/>
              <w:spacing w:lineRule="auto" w:line="240" w:before="0" w:after="0"/>
              <w:rPr/>
            </w:pPr>
            <w:r>
              <w:rPr/>
              <w:t>- Para el tráfico para la entrada del emulador es el siguiente: udp.dstport == 5004, debido a que el emulador recibe los paquete a ese puerto.</w:t>
            </w:r>
          </w:p>
          <w:p>
            <w:pPr>
              <w:pStyle w:val="Normal"/>
              <w:spacing w:lineRule="auto" w:line="240" w:before="0" w:after="0"/>
              <w:rPr/>
            </w:pPr>
            <w:r>
              <w:rPr/>
              <w:t>- Para el tráfico para la salida del emulador es la siguiente: udp.dstport == 5005, debido a que es donde envía el emulador al servidor.</w:t>
            </w:r>
          </w:p>
        </w:tc>
      </w:tr>
      <w:tr>
        <w:trPr/>
        <w:tc>
          <w:tcPr>
            <w:tcW w:w="8644" w:type="dxa"/>
            <w:tcBorders/>
            <w:shd w:fill="auto" w:val="clear"/>
          </w:tcPr>
          <w:p>
            <w:pPr>
              <w:pStyle w:val="Normal"/>
              <w:spacing w:lineRule="auto" w:line="240" w:before="0" w:after="0"/>
              <w:rPr/>
            </w:pPr>
            <w:r>
              <w:rPr>
                <w:highlight w:val="yellow"/>
              </w:rPr>
              <w:t>Explique aquí los resultados obtenidos en la gráfica.</w:t>
            </w:r>
          </w:p>
          <w:p>
            <w:pPr>
              <w:pStyle w:val="Normal"/>
              <w:spacing w:lineRule="auto" w:line="240" w:before="0" w:after="0"/>
              <w:rPr/>
            </w:pPr>
            <w:r>
              <w:rPr/>
              <w:t xml:space="preserve">Los resultados son los esperados debido a que a la entrada del emulador le llegan todos los paquetes a una velocidad 10 Mbps y como se puede ver es una tendencia a la baja que dura unos pocos segundos, debido a que no hay ninguna oposición para la llegada de estos paquetes al emulador </w:t>
            </w:r>
            <w:r>
              <w:rPr/>
              <w:t>y se encolan en la cola del emulador todos estos paquetes</w:t>
            </w:r>
            <w:r>
              <w:rPr/>
              <w:t>. A la salida del emulador son resultados esperados debido a que nuestro escenario tiene 200 paquetes por segundo como máximo de tráfico y como se puede ver la gráfica hasta el segundo cuatro envía una tasa constante de 200 paquetes por segundo. Estos resultados en este apartado son los esperados para nuestro escenario que hemos obtenido en el emuladorTB2.py</w:t>
            </w:r>
          </w:p>
        </w:tc>
      </w:tr>
    </w:tbl>
    <w:p>
      <w:pPr>
        <w:pStyle w:val="Normal"/>
        <w:rPr/>
      </w:pPr>
      <w:r>
        <w:rPr/>
      </w:r>
    </w:p>
    <w:p>
      <w:pPr>
        <w:pStyle w:val="ListParagraph"/>
        <w:numPr>
          <w:ilvl w:val="1"/>
          <w:numId w:val="4"/>
        </w:numPr>
        <w:rPr/>
      </w:pPr>
      <w:r>
        <w:rPr/>
        <w:t xml:space="preserve">Mida a partir de los datos capturados </w:t>
      </w:r>
      <w:r>
        <w:rPr>
          <w:b/>
          <w:u w:val="single"/>
        </w:rPr>
        <w:t>a la salida del emulador</w:t>
      </w:r>
      <w:r>
        <w:rPr/>
        <w:t xml:space="preserve"> el retardo de los paquetes (entendido como la diferencia entre el tiempo de transmisión y el de recepción), extrayendo a una hoja de cálculo los parámetros necesarios. Represéntelos gráficamente frente al tiempo y explique a qué se debe la existencia o no de regiones bien diferenciadas. Realice una segunda gráfica relativa a los tiempos entre llegadas y explique igualmente los resultados. (2 puntos).</w:t>
      </w:r>
    </w:p>
    <w:p>
      <w:pPr>
        <w:pStyle w:val="Normal"/>
        <w:rPr/>
      </w:pPr>
      <w:r>
        <w:rPr>
          <w:u w:val="single"/>
        </w:rPr>
        <w:t>Escenario 6, limitación al CIR</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de los retardos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Copie aquí la captura de la gráfica de los tiempos entre llegadas de los paquetes frente al tiempo.</w:t>
            </w:r>
            <w:r>
              <w:rPr/>
              <w:t xml:space="preserve"> </w:t>
            </w:r>
          </w:p>
          <w:p>
            <w:pPr>
              <w:pStyle w:val="Normal"/>
              <w:spacing w:lineRule="auto" w:line="240" w:before="0" w:after="0"/>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354955" cy="4015740"/>
                  <wp:effectExtent l="0" t="0" r="0" b="0"/>
                  <wp:wrapSquare wrapText="largest"/>
                  <wp:docPr id="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3" descr=""/>
                          <pic:cNvPicPr>
                            <a:picLocks noChangeAspect="1" noChangeArrowheads="1"/>
                          </pic:cNvPicPr>
                        </pic:nvPicPr>
                        <pic:blipFill>
                          <a:blip r:embed="rId10"/>
                          <a:stretch>
                            <a:fillRect/>
                          </a:stretch>
                        </pic:blipFill>
                        <pic:spPr bwMode="auto">
                          <a:xfrm>
                            <a:off x="0" y="0"/>
                            <a:ext cx="5354955" cy="4015740"/>
                          </a:xfrm>
                          <a:prstGeom prst="rect">
                            <a:avLst/>
                          </a:prstGeom>
                        </pic:spPr>
                      </pic:pic>
                    </a:graphicData>
                  </a:graphic>
                </wp:anchor>
              </w:drawing>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bl>
    <w:p>
      <w:pPr>
        <w:pStyle w:val="Normal"/>
        <w:rPr/>
      </w:pPr>
      <w:r>
        <w:rPr/>
      </w:r>
    </w:p>
    <w:p>
      <w:pPr>
        <w:pStyle w:val="Normal"/>
        <w:rPr/>
      </w:pPr>
      <w:r>
        <w:rPr>
          <w:u w:val="single"/>
        </w:rPr>
        <w:t>Escenario 6, limitación a 10 Mbps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de los retardos frente al tiempo.</w:t>
            </w:r>
            <w:r>
              <w:rPr/>
              <w:t xml:space="preserve"> </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drawing>
                <wp:anchor behindDoc="0" distT="0" distB="0" distL="0" distR="0" simplePos="0" locked="0" layoutInCell="1" allowOverlap="1" relativeHeight="7">
                  <wp:simplePos x="0" y="0"/>
                  <wp:positionH relativeFrom="column">
                    <wp:posOffset>-28575</wp:posOffset>
                  </wp:positionH>
                  <wp:positionV relativeFrom="paragraph">
                    <wp:posOffset>407670</wp:posOffset>
                  </wp:positionV>
                  <wp:extent cx="5354955" cy="4015740"/>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1"/>
                          <a:stretch>
                            <a:fillRect/>
                          </a:stretch>
                        </pic:blipFill>
                        <pic:spPr bwMode="auto">
                          <a:xfrm>
                            <a:off x="0" y="0"/>
                            <a:ext cx="5354955" cy="4015740"/>
                          </a:xfrm>
                          <a:prstGeom prst="rect">
                            <a:avLst/>
                          </a:prstGeom>
                        </pic:spPr>
                      </pic:pic>
                    </a:graphicData>
                  </a:graphic>
                </wp:anchor>
              </w:drawing>
            </w:r>
            <w:r>
              <w:rPr>
                <w:highlight w:val="yellow"/>
              </w:rPr>
              <w:t>C</w:t>
            </w:r>
            <w:r>
              <w:rPr>
                <w:highlight w:val="yellow"/>
              </w:rPr>
              <w:t>opie aquí la captura de la gráfica de los tiempos entre llegadas de los paquetes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pPr>
            <w:r>
              <w:rPr/>
              <w:t>Los resultados obtenidos son los esperados debido a que los 200 primeros paquetes tienen muy poco retardo entre ellos y cuando hay más paquetes en la cola, es decir, cuando ya se pasa de los 200 primeros paquetes aumenta el retardo entre los paquetes debido al tiempo que esperan los paquetes en el cola del Token Bucket.</w:t>
            </w:r>
          </w:p>
        </w:tc>
      </w:tr>
    </w:tbl>
    <w:p>
      <w:pPr>
        <w:pStyle w:val="Normal"/>
        <w:rPr/>
      </w:pPr>
      <w:r>
        <w:rPr/>
      </w:r>
    </w:p>
    <w:p>
      <w:pPr>
        <w:pStyle w:val="ListParagraph"/>
        <w:numPr>
          <w:ilvl w:val="1"/>
          <w:numId w:val="4"/>
        </w:numPr>
        <w:rPr/>
      </w:pPr>
      <w:bookmarkStart w:id="13" w:name="_Ref447637040"/>
      <w:bookmarkEnd w:id="13"/>
      <w:r>
        <w:rPr/>
        <w:t xml:space="preserve">Mida a partir de los datos capturados </w:t>
      </w:r>
      <w:r>
        <w:rPr>
          <w:b/>
          <w:u w:val="single"/>
        </w:rPr>
        <w:t>a la salida del emulador</w:t>
      </w:r>
      <w:r>
        <w:rPr/>
        <w:t xml:space="preserve">, el caudal efectivo en bits/s que finalmente se obtiene tras pasar por el </w:t>
      </w:r>
      <w:r>
        <w:rPr>
          <w:i/>
        </w:rPr>
        <w:t xml:space="preserve">token </w:t>
      </w:r>
      <w:bookmarkStart w:id="14" w:name="_GoBack"/>
      <w:bookmarkEnd w:id="14"/>
      <w:r>
        <w:rPr>
          <w:i/>
        </w:rPr>
        <w:t>bucket</w:t>
      </w:r>
      <w:r>
        <w:rPr/>
        <w:t xml:space="preserve">. Utilice para ello la estimación de ancho de banda medio de la práctica 2.Compare el resultado obtenido con el previsto en el apartado </w:t>
      </w:r>
      <w:r>
        <w:rPr/>
        <w:fldChar w:fldCharType="begin"/>
      </w:r>
      <w:r>
        <w:rPr/>
        <w:instrText> REF _Ref447716660 \r \h </w:instrText>
      </w:r>
      <w:r>
        <w:rPr/>
        <w:fldChar w:fldCharType="separate"/>
      </w:r>
      <w:r>
        <w:rPr/>
        <w:t>1</w:t>
      </w:r>
      <w:r>
        <w:rPr/>
        <w:fldChar w:fldCharType="end"/>
      </w:r>
      <w:r>
        <w:rPr/>
        <w:t>. (2 puntos)</w:t>
      </w:r>
    </w:p>
    <w:p>
      <w:pPr>
        <w:pStyle w:val="Normal"/>
        <w:rPr/>
      </w:pPr>
      <w:r>
        <w:rPr>
          <w:u w:val="single"/>
        </w:rPr>
        <w:t>Escenario 6, limitación al CIR</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Indique aquí el cálculo de caudal efectivo en bits/s obtenido a la salida del emulador.</w: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18">
                  <wp:simplePos x="0" y="0"/>
                  <wp:positionH relativeFrom="column">
                    <wp:posOffset>41275</wp:posOffset>
                  </wp:positionH>
                  <wp:positionV relativeFrom="paragraph">
                    <wp:posOffset>140335</wp:posOffset>
                  </wp:positionV>
                  <wp:extent cx="5354955" cy="1620520"/>
                  <wp:effectExtent l="0" t="0" r="0" b="0"/>
                  <wp:wrapSquare wrapText="largest"/>
                  <wp:docPr id="11"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4" descr=""/>
                          <pic:cNvPicPr>
                            <a:picLocks noChangeAspect="1" noChangeArrowheads="1"/>
                          </pic:cNvPicPr>
                        </pic:nvPicPr>
                        <pic:blipFill>
                          <a:blip r:embed="rId12"/>
                          <a:stretch>
                            <a:fillRect/>
                          </a:stretch>
                        </pic:blipFill>
                        <pic:spPr bwMode="auto">
                          <a:xfrm>
                            <a:off x="0" y="0"/>
                            <a:ext cx="5354955" cy="1620520"/>
                          </a:xfrm>
                          <a:prstGeom prst="rect">
                            <a:avLst/>
                          </a:prstGeom>
                        </pic:spPr>
                      </pic:pic>
                    </a:graphicData>
                  </a:graphic>
                </wp:anchor>
              </w:drawing>
            </w:r>
          </w:p>
        </w:tc>
      </w:tr>
      <w:tr>
        <w:trPr/>
        <w:tc>
          <w:tcPr>
            <w:tcW w:w="8644" w:type="dxa"/>
            <w:tcBorders/>
            <w:shd w:fill="auto" w:val="clear"/>
          </w:tcPr>
          <w:p>
            <w:pPr>
              <w:pStyle w:val="Normal"/>
              <w:spacing w:lineRule="auto" w:line="240" w:before="0" w:after="0"/>
              <w:rPr>
                <w:highlight w:val="yellow"/>
              </w:rPr>
            </w:pPr>
            <w:r>
              <w:rPr>
                <w:highlight w:val="yellow"/>
              </w:rPr>
              <w:t>Explique aquí si el resultado es similar al previsto.</w:t>
            </w:r>
          </w:p>
          <w:p>
            <w:pPr>
              <w:pStyle w:val="Normal"/>
              <w:spacing w:lineRule="auto" w:line="240" w:before="0" w:after="0"/>
              <w:rPr/>
            </w:pPr>
            <w:bookmarkStart w:id="15" w:name="__DdeLink__314_1610922877"/>
            <w:r>
              <w:rPr/>
              <w:t>Si es muy similar al previsto debido a que el emulador nos limita que la tasa máxima que enviemos los paquetes es de 2400 Kbits por segundo. Por lo tanto, los resultados son acordes con lo que hemos previsto con el Token Bucket.</w:t>
            </w:r>
            <w:bookmarkEnd w:id="15"/>
          </w:p>
        </w:tc>
      </w:tr>
    </w:tbl>
    <w:p>
      <w:pPr>
        <w:pStyle w:val="Normal"/>
        <w:rPr/>
      </w:pPr>
      <w:r>
        <w:rPr/>
      </w:r>
    </w:p>
    <w:p>
      <w:pPr>
        <w:pStyle w:val="Normal"/>
        <w:rPr/>
      </w:pPr>
      <w:r>
        <w:rPr>
          <w:u w:val="single"/>
        </w:rPr>
        <w:t>Escenario 6, limitación a 10 Mbps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Indique aquí el cálculo de caudal efectivo en bits/s obtenido a la salida del emulador.</w:t>
            </w:r>
            <w:r>
              <w:rPr/>
              <w:t xml:space="preserve"> </w:t>
            </w:r>
          </w:p>
          <w:p>
            <w:pPr>
              <w:pStyle w:val="Normal"/>
              <w:spacing w:lineRule="auto" w:line="240" w:before="0" w:after="0"/>
              <w:rPr/>
            </w:pPr>
            <w:r>
              <w:rPr/>
              <w:drawing>
                <wp:anchor behindDoc="0" distT="0" distB="0" distL="0" distR="0" simplePos="0" locked="0" layoutInCell="1" allowOverlap="1" relativeHeight="8">
                  <wp:simplePos x="0" y="0"/>
                  <wp:positionH relativeFrom="column">
                    <wp:posOffset>963295</wp:posOffset>
                  </wp:positionH>
                  <wp:positionV relativeFrom="paragraph">
                    <wp:posOffset>29845</wp:posOffset>
                  </wp:positionV>
                  <wp:extent cx="3505200" cy="2933065"/>
                  <wp:effectExtent l="0" t="0" r="0" b="0"/>
                  <wp:wrapSquare wrapText="largest"/>
                  <wp:docPr id="1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
                          <pic:cNvPicPr>
                            <a:picLocks noChangeAspect="1" noChangeArrowheads="1"/>
                          </pic:cNvPicPr>
                        </pic:nvPicPr>
                        <pic:blipFill>
                          <a:blip r:embed="rId13"/>
                          <a:srcRect l="17992" t="2568" r="16548" b="0"/>
                          <a:stretch>
                            <a:fillRect/>
                          </a:stretch>
                        </pic:blipFill>
                        <pic:spPr bwMode="auto">
                          <a:xfrm>
                            <a:off x="0" y="0"/>
                            <a:ext cx="3505200" cy="293306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si el resultado es similar al previsto.</w:t>
            </w:r>
          </w:p>
          <w:p>
            <w:pPr>
              <w:pStyle w:val="Normal"/>
              <w:spacing w:lineRule="auto" w:line="240" w:before="0" w:after="0"/>
              <w:rPr/>
            </w:pPr>
            <w:r>
              <w:rPr/>
              <w:t>Si es muy similar al previsto debido a que el emulador nos limita que la tasa máxima que enviemos los paquetes es de 2400 Kbits por segundo. Por lo tanto, los resultados son acordes con lo que hemos previsto con el Token Bucket. Aquí podemos observar que da igual a la tasa que enviemos al emulador que siempre va a salir a la misma tasa del emulador a unos 2400 Kbits por segundo.</w:t>
            </w:r>
          </w:p>
        </w:tc>
      </w:tr>
    </w:tbl>
    <w:p>
      <w:pPr>
        <w:pStyle w:val="Normal"/>
        <w:rPr/>
      </w:pPr>
      <w:r>
        <w:rPr/>
      </w:r>
    </w:p>
    <w:p>
      <w:pPr>
        <w:pStyle w:val="Ttulo2"/>
        <w:numPr>
          <w:ilvl w:val="0"/>
          <w:numId w:val="0"/>
        </w:numPr>
        <w:ind w:left="576" w:hanging="0"/>
        <w:rPr/>
      </w:pPr>
      <w:r>
        <w:rPr/>
      </w:r>
      <w:bookmarkStart w:id="16" w:name="_Toc412817168"/>
      <w:bookmarkStart w:id="17" w:name="_Toc447724967"/>
      <w:bookmarkStart w:id="18" w:name="_Toc412817168"/>
      <w:bookmarkStart w:id="19" w:name="_Toc447724967"/>
      <w:bookmarkEnd w:id="18"/>
      <w:bookmarkEnd w:id="19"/>
    </w:p>
    <w:p>
      <w:pPr>
        <w:pStyle w:val="Normal"/>
        <w:rPr/>
      </w:pPr>
      <w:r>
        <w:rPr/>
      </w:r>
    </w:p>
    <w:p>
      <w:pPr>
        <w:pStyle w:val="ListParagraph"/>
        <w:numPr>
          <w:ilvl w:val="0"/>
          <w:numId w:val="3"/>
        </w:numPr>
        <w:ind w:left="720" w:hanging="360"/>
        <w:rPr/>
      </w:pPr>
      <w:bookmarkStart w:id="20" w:name="_Ref447718053"/>
      <w:bookmarkStart w:id="21" w:name="_Ref4476370401"/>
      <w:bookmarkEnd w:id="21"/>
      <w:r>
        <w:rPr/>
        <w:t xml:space="preserve">Utilice el mecanismo usado en la práctica 1 para estudiar la influencia del </w:t>
      </w:r>
      <w:r>
        <w:rPr>
          <w:i/>
        </w:rPr>
        <w:t>token-bucket</w:t>
      </w:r>
      <w:r>
        <w:rPr/>
        <w:t xml:space="preserve"> sobre un flujo multimedia. Mediante dos VLC (emisor y receptor), envíe el vídeo proporcionado en dicha práctica a través del </w:t>
      </w:r>
      <w:r>
        <w:rPr>
          <w:rFonts w:cs="Consolas" w:ascii="Consolas" w:hAnsi="Consolas"/>
        </w:rPr>
        <w:t>emuladorTB.py</w:t>
      </w:r>
      <w:bookmarkEnd w:id="20"/>
      <w:r>
        <w:rPr/>
        <w:t>, para el escenario que coincide con su número de pareja. Recuerde que dicho vídeo es de tasa variable, con lo que será normal la presencia de picos en el mismo.</w:t>
      </w:r>
    </w:p>
    <w:p>
      <w:pPr>
        <w:pStyle w:val="ListParagraph"/>
        <w:numPr>
          <w:ilvl w:val="1"/>
          <w:numId w:val="5"/>
        </w:numPr>
        <w:rPr/>
      </w:pPr>
      <w:r>
        <w:rPr/>
        <w:t>Capture con el Wireshark el tráfico y represente con la función IOgraph el caudal consumido por el vídeo a lo largo del tiempo, tanto a la entrada como a la salida del emulador (ambos flujos se pueden diferenciar fácilmente según su puerto de destino). Explique la diferencia entre uno y otro flujo multimedia. (1 puntos)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jc w:val="center"/>
              <w:rPr>
                <w:b/>
                <w:b/>
                <w:bCs/>
                <w:u w:val="single"/>
              </w:rPr>
            </w:pPr>
            <w:r>
              <w:rPr>
                <w:b/>
                <w:bCs/>
                <w:u w:val="single"/>
              </w:rPr>
              <w:t>ENTRADA AL EMULADOR</w:t>
            </w:r>
          </w:p>
          <w:p>
            <w:pPr>
              <w:pStyle w:val="Normal"/>
              <w:spacing w:lineRule="auto" w:line="240" w:before="0" w:after="0"/>
              <w:jc w:val="left"/>
              <w:rPr>
                <w:b w:val="false"/>
                <w:b w:val="false"/>
                <w:bCs w:val="false"/>
                <w:u w:val="none"/>
              </w:rPr>
            </w:pPr>
            <w:r>
              <w:rPr>
                <w:b w:val="false"/>
                <w:bCs w:val="false"/>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003165" cy="2555875"/>
                  <wp:effectExtent l="0" t="0" r="0" b="0"/>
                  <wp:wrapSquare wrapText="largest"/>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4"/>
                          <a:stretch>
                            <a:fillRect/>
                          </a:stretch>
                        </pic:blipFill>
                        <pic:spPr bwMode="auto">
                          <a:xfrm>
                            <a:off x="0" y="0"/>
                            <a:ext cx="5003165" cy="255587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b/>
                <w:b/>
                <w:bCs/>
                <w:u w:val="single"/>
              </w:rPr>
            </w:pPr>
            <w:r>
              <w:rPr>
                <w:b/>
                <w:bCs/>
                <w:u w:val="single"/>
              </w:rPr>
              <w:t>SALIDA DEL EMULADOR</w:t>
            </w:r>
          </w:p>
          <w:p>
            <w:pPr>
              <w:pStyle w:val="Normal"/>
              <w:spacing w:lineRule="auto" w:line="240" w:before="0" w:after="0"/>
              <w:jc w:val="left"/>
              <w:rPr>
                <w:b w:val="false"/>
                <w:b w:val="false"/>
                <w:bCs w:val="false"/>
                <w:u w:val="none"/>
              </w:rPr>
            </w:pPr>
            <w:r>
              <w:rPr>
                <w:b w:val="false"/>
                <w:bCs w:val="false"/>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963160" cy="2535555"/>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5"/>
                          <a:stretch>
                            <a:fillRect/>
                          </a:stretch>
                        </pic:blipFill>
                        <pic:spPr bwMode="auto">
                          <a:xfrm>
                            <a:off x="0" y="0"/>
                            <a:ext cx="4963160" cy="2535555"/>
                          </a:xfrm>
                          <a:prstGeom prst="rect">
                            <a:avLst/>
                          </a:prstGeom>
                        </pic:spPr>
                      </pic:pic>
                    </a:graphicData>
                  </a:graphic>
                </wp:anchor>
              </w:drawing>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incluyendo las diferencias que observa entre ambos flujos multimedia.</w:t>
            </w:r>
          </w:p>
          <w:p>
            <w:pPr>
              <w:pStyle w:val="Normal"/>
              <w:spacing w:lineRule="auto" w:line="240" w:before="0" w:after="0"/>
              <w:rPr>
                <w:highlight w:val="yellow"/>
              </w:rPr>
            </w:pPr>
            <w:r>
              <w:rPr>
                <w:highlight w:val="yellow"/>
              </w:rPr>
            </w:r>
          </w:p>
        </w:tc>
      </w:tr>
    </w:tbl>
    <w:p>
      <w:pPr>
        <w:pStyle w:val="Normal"/>
        <w:rPr/>
      </w:pPr>
      <w:r>
        <w:rPr/>
      </w:r>
    </w:p>
    <w:p>
      <w:pPr>
        <w:pStyle w:val="ListParagraph"/>
        <w:numPr>
          <w:ilvl w:val="1"/>
          <w:numId w:val="5"/>
        </w:numPr>
        <w:rPr/>
      </w:pPr>
      <w:r>
        <w:rPr/>
        <w:t>Cuantifique experimentalmente qué retardo se añade en el caso peor a los paquetes en la traza capturada. Wireshark posee una funcionalidad de análisis de flujos RTP que puede serle de utilidad en este caso.  (1 punto)</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Cuantifique el retardo que observa en el caso peor.</w:t>
            </w:r>
            <w:r>
              <w:rPr/>
              <w:t xml:space="preserve"> </w:t>
            </w:r>
          </w:p>
          <w:p>
            <w:pPr>
              <w:pStyle w:val="Normal"/>
              <w:spacing w:lineRule="auto" w:line="240" w:before="0" w:after="0"/>
              <w:rPr/>
            </w:pPr>
            <w:r>
              <w:rPr/>
            </w:r>
          </w:p>
          <w:p>
            <w:pPr>
              <w:pStyle w:val="Normal"/>
              <w:spacing w:lineRule="auto" w:line="240" w:before="0" w:after="0"/>
              <w:rPr/>
            </w:pPr>
            <w:r>
              <w:rPr/>
            </w:r>
          </w:p>
        </w:tc>
      </w:tr>
    </w:tbl>
    <w:p>
      <w:pPr>
        <w:pStyle w:val="ListParagraph"/>
        <w:numPr>
          <w:ilvl w:val="1"/>
          <w:numId w:val="5"/>
        </w:numPr>
        <w:rPr/>
      </w:pPr>
      <w:r>
        <w:rPr/>
        <w:t>Estudie desde un punto de vista subjetivo si aprecia alguna merma de calidad percibida (MOS), y si es posible y de qué manera corregir este problema en el receptor. (0,5 puntos)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¿Se aprecia alguna merma en la calidad percibida del vídeo en el receptor?</w:t>
            </w:r>
            <w:r>
              <w:rPr/>
              <w:t xml:space="preserve"> </w:t>
            </w:r>
          </w:p>
          <w:p>
            <w:pPr>
              <w:pStyle w:val="Normal"/>
              <w:spacing w:lineRule="auto" w:line="240" w:before="0" w:after="0"/>
              <w:rPr/>
            </w:pPr>
            <w:r>
              <w:rPr/>
              <w:t>Solo se aprecia una leve perdida de paquetes al inicio de la reproducción del video, pero es tan leve que no afecta mucho a la reproducción del video que estamos emitiendo y por lo tanto, le pondríamos un 5 a la emisión del VLC 1 al VLC 2 pasando por el emulador con el Token Bucket.</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¿Se podría corregir este problema?</w:t>
            </w:r>
          </w:p>
          <w:p>
            <w:pPr>
              <w:pStyle w:val="Normal"/>
              <w:spacing w:lineRule="auto" w:line="240" w:before="0" w:after="0"/>
              <w:rPr/>
            </w:pPr>
            <w:r>
              <w:rPr/>
              <w:t>Se podría corregir este leve problema aumentando el buffer de recepción de paquetes del VLC 2.</w:t>
            </w:r>
          </w:p>
        </w:tc>
      </w:tr>
    </w:tbl>
    <w:p>
      <w:pPr>
        <w:pStyle w:val="Normal"/>
        <w:rPr/>
      </w:pPr>
      <w:r>
        <w:rPr/>
      </w:r>
    </w:p>
    <w:p>
      <w:pPr>
        <w:pStyle w:val="Ttulo1"/>
        <w:numPr>
          <w:ilvl w:val="0"/>
          <w:numId w:val="2"/>
        </w:numPr>
        <w:rPr/>
      </w:pPr>
      <w:bookmarkStart w:id="22" w:name="__RefHeading___Toc344_1728926191"/>
      <w:bookmarkStart w:id="23" w:name="_Toc447724968"/>
      <w:bookmarkEnd w:id="22"/>
      <w:bookmarkEnd w:id="23"/>
      <w:r>
        <w:rPr/>
        <w:t>Conclusiones</w:t>
      </w:r>
    </w:p>
    <w:p>
      <w:pPr>
        <w:pStyle w:val="Normal"/>
        <w:widowControl/>
        <w:bidi w:val="0"/>
        <w:spacing w:lineRule="auto" w:line="276" w:before="0" w:after="200"/>
        <w:jc w:val="both"/>
        <w:rPr/>
      </w:pPr>
      <w:r>
        <w:rPr>
          <w:highlight w:val="yellow"/>
        </w:rPr>
        <w:t>Escriba aquí las conclusiones que ha extraído de la realización de la práctica.</w:t>
      </w:r>
    </w:p>
    <w:sectPr>
      <w:footerReference w:type="default" r:id="rId16"/>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315254"/>
    </w:sdtPr>
    <w:sdtContent>
      <w:p>
        <w:pPr>
          <w:pStyle w:val="Piedepgina"/>
          <w:jc w:val="center"/>
          <w:rPr/>
        </w:pPr>
        <w:r>
          <w:rPr/>
          <w:fldChar w:fldCharType="begin"/>
        </w:r>
        <w:r>
          <w:rPr/>
          <w:instrText> PAGE </w:instrText>
        </w:r>
        <w:r>
          <w:rPr/>
          <w:fldChar w:fldCharType="separate"/>
        </w:r>
        <w:r>
          <w:rPr/>
          <w:t>12</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72" w:hanging="360"/>
      </w:p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abstractNum w:abstractNumId="4">
    <w:lvl w:ilvl="0">
      <w:start w:val="1"/>
      <w:numFmt w:val="decimal"/>
      <w:lvlText w:val="%1."/>
      <w:lvlJc w:val="left"/>
      <w:pPr>
        <w:ind w:left="372" w:hanging="360"/>
      </w:p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abstractNum w:abstractNumId="5">
    <w:lvl w:ilvl="0">
      <w:start w:val="1"/>
      <w:numFmt w:val="decimal"/>
      <w:lvlText w:val="%1."/>
      <w:lvlJc w:val="left"/>
      <w:pPr>
        <w:ind w:left="372" w:hanging="360"/>
      </w:p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2173"/>
    <w:pPr>
      <w:widowControl/>
      <w:bidi w:val="0"/>
      <w:spacing w:lineRule="auto" w:line="276" w:before="0" w:after="200"/>
      <w:jc w:val="both"/>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EndnoteCharacters">
    <w:name w:val="Endnote Characters"/>
    <w:basedOn w:val="DefaultParagraphFont"/>
    <w:uiPriority w:val="99"/>
    <w:semiHidden/>
    <w:unhideWhenUsed/>
    <w:qFormat/>
    <w:rsid w:val="00e6568f"/>
    <w:rPr>
      <w:vertAlign w:val="superscript"/>
    </w:rPr>
  </w:style>
  <w:style w:type="character" w:styleId="EndnoteAnchor">
    <w:name w:val="Endnote Anchor"/>
    <w:qFormat/>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FootnoteCharacters">
    <w:name w:val="Footnote Characters"/>
    <w:basedOn w:val="DefaultParagraphFont"/>
    <w:uiPriority w:val="99"/>
    <w:semiHidden/>
    <w:unhideWhenUsed/>
    <w:qFormat/>
    <w:rsid w:val="00e6568f"/>
    <w:rPr>
      <w:vertAlign w:val="superscript"/>
    </w:rPr>
  </w:style>
  <w:style w:type="character" w:styleId="FootnoteAnchor">
    <w:name w:val="Footnote Anchor"/>
    <w:qFormat/>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EncabezadoCar" w:customStyle="1">
    <w:name w:val="Encabezado Car"/>
    <w:basedOn w:val="DefaultParagraphFont"/>
    <w:link w:val="Encabezado"/>
    <w:uiPriority w:val="99"/>
    <w:qFormat/>
    <w:rsid w:val="005d03c1"/>
    <w:rPr/>
  </w:style>
  <w:style w:type="character" w:styleId="PiedepginaCar" w:customStyle="1">
    <w:name w:val="Pie de página Car"/>
    <w:basedOn w:val="DefaultParagraphFont"/>
    <w:link w:val="Piedepgina"/>
    <w:uiPriority w:val="99"/>
    <w:qFormat/>
    <w:rsid w:val="005d03c1"/>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Enlacedelndice">
    <w:name w:val="Enlace del índice"/>
    <w:qFormat/>
    <w:rPr/>
  </w:style>
  <w:style w:type="character" w:styleId="InternetLink">
    <w:name w:val="Internet Link"/>
    <w:qForma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becera">
    <w:name w:val="Header"/>
    <w:basedOn w:val="Normal"/>
    <w:link w:val="EncabezadoCar"/>
    <w:uiPriority w:val="99"/>
    <w:unhideWhenUsed/>
    <w:rsid w:val="005d03c1"/>
    <w:pPr>
      <w:tabs>
        <w:tab w:val="center" w:pos="4252" w:leader="none"/>
        <w:tab w:val="right" w:pos="8504" w:leader="none"/>
      </w:tabs>
      <w:spacing w:lineRule="auto" w:line="240" w:before="0" w:after="0"/>
    </w:pPr>
    <w:rPr/>
  </w:style>
  <w:style w:type="paragraph" w:styleId="Caption">
    <w:name w:val="caption"/>
    <w:basedOn w:val="Normal"/>
    <w:next w:val="Normal"/>
    <w:uiPriority w:val="35"/>
    <w:unhideWhenUsed/>
    <w:qFormat/>
    <w:rsid w:val="00b31d0e"/>
    <w:pPr>
      <w:spacing w:lineRule="auto" w:line="240"/>
    </w:pPr>
    <w:rPr>
      <w:b/>
      <w:bCs/>
      <w:color w:val="4F81BD" w:themeColor="accent1"/>
      <w:sz w:val="18"/>
      <w:szCs w:val="18"/>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Notafinal">
    <w:name w:val="Endnote Text"/>
    <w:basedOn w:val="Normal"/>
    <w:link w:val="TextonotaalfinalCar"/>
    <w:uiPriority w:val="99"/>
    <w:semiHidden/>
    <w:unhideWhenUsed/>
    <w:qFormat/>
    <w:rsid w:val="00e6568f"/>
    <w:pPr>
      <w:spacing w:lineRule="auto" w:line="240" w:before="0" w:after="0"/>
    </w:pPr>
    <w:rPr>
      <w:sz w:val="20"/>
      <w:szCs w:val="20"/>
    </w:rPr>
  </w:style>
  <w:style w:type="paragraph" w:styleId="Notaalpie">
    <w:name w:val="Footnote Text"/>
    <w:basedOn w:val="Normal"/>
    <w:link w:val="TextonotapieCar"/>
    <w:uiPriority w:val="99"/>
    <w:semiHidden/>
    <w:unhideWhenUsed/>
    <w:qFormat/>
    <w:rsid w:val="00e6568f"/>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paragraph" w:styleId="Piedepgina">
    <w:name w:val="Footer"/>
    <w:basedOn w:val="Normal"/>
    <w:link w:val="PiedepginaCar"/>
    <w:uiPriority w:val="99"/>
    <w:unhideWhenUsed/>
    <w:rsid w:val="005d03c1"/>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BD32D-BC1E-4E6E-84D2-D4406497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Application>LibreOffice/6.0.7.3$Linux_X86_64 LibreOffice_project/00m0$Build-3</Application>
  <Pages>12</Pages>
  <Words>1840</Words>
  <Characters>8905</Characters>
  <CharactersWithSpaces>10656</CharactersWithSpaces>
  <Paragraphs>97</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2016-03-13T09:15:00Z</dcterms:created>
  <dc:creator>jlopezv</dc:creator>
  <dc:description/>
  <dc:language>es-ES</dc:language>
  <cp:lastModifiedBy/>
  <dcterms:modified xsi:type="dcterms:W3CDTF">2020-04-20T16:44:29Z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