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8232F"/>
          <w:sz w:val="18"/>
        </w:rPr>
        <w:t>KIT RGPD TPE</w:t>
      </w:r>
    </w:p>
    <w:p>
      <w:r>
        <w:rPr>
          <w:b/>
          <w:color w:val="15233B"/>
          <w:sz w:val="44"/>
        </w:rPr>
        <w:t>Guide d'utilisation du kit</w:t>
      </w:r>
    </w:p>
    <w:p>
      <w:r>
        <w:rPr>
          <w:i/>
          <w:sz w:val="22"/>
        </w:rPr>
        <w:t>Par où commencer, dans quel ordre, et ce que la CNIL demande en premier.</w:t>
      </w:r>
    </w:p>
    <w:p>
      <w:r>
        <w:rPr>
          <w:sz w:val="18"/>
        </w:rPr>
        <w:t>Modèle version 1.0, 13 octobre 2026. Les champs entre [crochets] sont à remplacer. Supprimez cette ligne avant publication.</w:t>
      </w:r>
    </w:p>
    <w:p>
      <w:pPr>
        <w:spacing w:before="240"/>
      </w:pPr>
      <w:r>
        <w:rPr>
          <w:b/>
          <w:color w:val="15233B"/>
          <w:sz w:val="28"/>
        </w:rPr>
        <w:t>Ce que contient le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Fichier</w:t>
            </w:r>
          </w:p>
        </w:tc>
        <w:tc>
          <w:tcPr>
            <w:tcW w:type="dxa" w:w="3249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Obligatoire ?</w:t>
            </w:r>
          </w:p>
        </w:tc>
      </w:tr>
      <w:tr>
        <w:tc>
          <w:tcPr>
            <w:tcW w:type="dxa" w:w="3249"/>
          </w:tcPr>
          <w:p>
            <w:r>
              <w:t>01-Registre-des-traitements.xlsx</w:t>
            </w:r>
          </w:p>
        </w:tc>
        <w:tc>
          <w:tcPr>
            <w:tcW w:type="dxa" w:w="3249"/>
          </w:tcPr>
          <w:p>
            <w:r>
              <w:t>Inventaire de vos traitements, sous-traitants, durées, incidents, demandes</w:t>
            </w:r>
          </w:p>
        </w:tc>
        <w:tc>
          <w:tcPr>
            <w:tcW w:type="dxa" w:w="3249"/>
          </w:tcPr>
          <w:p>
            <w:r>
              <w:t>Oui (art. 30 RGPD)</w:t>
            </w:r>
          </w:p>
        </w:tc>
      </w:tr>
      <w:tr>
        <w:tc>
          <w:tcPr>
            <w:tcW w:type="dxa" w:w="3249"/>
          </w:tcPr>
          <w:p>
            <w:r>
              <w:t>02-Politique-de-confidentialite.docx</w:t>
            </w:r>
          </w:p>
        </w:tc>
        <w:tc>
          <w:tcPr>
            <w:tcW w:type="dxa" w:w="3249"/>
          </w:tcPr>
          <w:p>
            <w:r>
              <w:t>Information des clients, prospects, visiteurs du site</w:t>
            </w:r>
          </w:p>
        </w:tc>
        <w:tc>
          <w:tcPr>
            <w:tcW w:type="dxa" w:w="3249"/>
          </w:tcPr>
          <w:p>
            <w:r>
              <w:t>Oui (art. 13)</w:t>
            </w:r>
          </w:p>
        </w:tc>
      </w:tr>
      <w:tr>
        <w:tc>
          <w:tcPr>
            <w:tcW w:type="dxa" w:w="3249"/>
          </w:tcPr>
          <w:p>
            <w:r>
              <w:t>03-Politique-cookies.docx</w:t>
            </w:r>
          </w:p>
        </w:tc>
        <w:tc>
          <w:tcPr>
            <w:tcW w:type="dxa" w:w="3249"/>
          </w:tcPr>
          <w:p>
            <w:r>
              <w:t>Information et consentement sur les traceurs du site</w:t>
            </w:r>
          </w:p>
        </w:tc>
        <w:tc>
          <w:tcPr>
            <w:tcW w:type="dxa" w:w="3249"/>
          </w:tcPr>
          <w:p>
            <w:r>
              <w:t>Oui si traceurs non essentiels</w:t>
            </w:r>
          </w:p>
        </w:tc>
      </w:tr>
      <w:tr>
        <w:tc>
          <w:tcPr>
            <w:tcW w:type="dxa" w:w="3249"/>
          </w:tcPr>
          <w:p>
            <w:r>
              <w:t>04-Mentions-legales.docx</w:t>
            </w:r>
          </w:p>
        </w:tc>
        <w:tc>
          <w:tcPr>
            <w:tcW w:type="dxa" w:w="3249"/>
          </w:tcPr>
          <w:p>
            <w:r>
              <w:t>Identification de l'éditeur du site</w:t>
            </w:r>
          </w:p>
        </w:tc>
        <w:tc>
          <w:tcPr>
            <w:tcW w:type="dxa" w:w="3249"/>
          </w:tcPr>
          <w:p>
            <w:r>
              <w:t>Oui (loi LCEN)</w:t>
            </w:r>
          </w:p>
        </w:tc>
      </w:tr>
      <w:tr>
        <w:tc>
          <w:tcPr>
            <w:tcW w:type="dxa" w:w="3249"/>
          </w:tcPr>
          <w:p>
            <w:r>
              <w:t>05-Procedure-violation-de-donnees.docx</w:t>
            </w:r>
          </w:p>
        </w:tc>
        <w:tc>
          <w:tcPr>
            <w:tcW w:type="dxa" w:w="3249"/>
          </w:tcPr>
          <w:p>
            <w:r>
              <w:t>Quoi faire en cas de fuite, perte, piratage</w:t>
            </w:r>
          </w:p>
        </w:tc>
        <w:tc>
          <w:tcPr>
            <w:tcW w:type="dxa" w:w="3249"/>
          </w:tcPr>
          <w:p>
            <w:r>
              <w:t>Oui (art. 33 et 34)</w:t>
            </w:r>
          </w:p>
        </w:tc>
      </w:tr>
      <w:tr>
        <w:tc>
          <w:tcPr>
            <w:tcW w:type="dxa" w:w="3249"/>
          </w:tcPr>
          <w:p>
            <w:r>
              <w:t>06-Clause-RGPD-sous-traitant.docx</w:t>
            </w:r>
          </w:p>
        </w:tc>
        <w:tc>
          <w:tcPr>
            <w:tcW w:type="dxa" w:w="3249"/>
          </w:tcPr>
          <w:p>
            <w:r>
              <w:t>Clause à faire signer à vos prestataires qui touchent des données</w:t>
            </w:r>
          </w:p>
        </w:tc>
        <w:tc>
          <w:tcPr>
            <w:tcW w:type="dxa" w:w="3249"/>
          </w:tcPr>
          <w:p>
            <w:r>
              <w:t>Oui (art. 28)</w:t>
            </w:r>
          </w:p>
        </w:tc>
      </w:tr>
      <w:tr>
        <w:tc>
          <w:tcPr>
            <w:tcW w:type="dxa" w:w="3249"/>
          </w:tcPr>
          <w:p>
            <w:r>
              <w:t>07-Checklist-conformite-TPE.docx</w:t>
            </w:r>
          </w:p>
        </w:tc>
        <w:tc>
          <w:tcPr>
            <w:tcW w:type="dxa" w:w="3249"/>
          </w:tcPr>
          <w:p>
            <w:r>
              <w:t>Auto-évaluation en 30 questions</w:t>
            </w:r>
          </w:p>
        </w:tc>
        <w:tc>
          <w:tcPr>
            <w:tcW w:type="dxa" w:w="3249"/>
          </w:tcPr>
          <w:p>
            <w:r>
              <w:t>Conseillé</w:t>
            </w:r>
          </w:p>
        </w:tc>
      </w:tr>
    </w:tbl>
    <w:p/>
    <w:p>
      <w:pPr>
        <w:spacing w:before="240"/>
      </w:pPr>
      <w:r>
        <w:rPr>
          <w:b/>
          <w:color w:val="15233B"/>
          <w:sz w:val="28"/>
        </w:rPr>
        <w:t>Dans quel ordre</w:t>
      </w:r>
    </w:p>
    <w:p>
      <w:pPr>
        <w:pStyle w:val="ListBullet"/>
      </w:pPr>
      <w:r>
        <w:t>Jour 1 : remplissez l'onglet Registre du fichier Excel. Listez chaque activité qui utilise des données de personnes : clients, salariés, candidats, visiteurs du site, caméras. La plupart des TPE ont 5 à 10 traitements.</w:t>
      </w:r>
    </w:p>
    <w:p>
      <w:pPr>
        <w:pStyle w:val="ListBullet"/>
      </w:pPr>
      <w:r>
        <w:t>Jour 1 : remplissez l'onglet Sous-traitants. Hébergeur, logiciel de facturation, expert-comptable, agence web, messagerie, solution de paie. Vérifiez que chacun a une clause RGPD (souvent déjà dans ses CGV) ; sinon envoyez le document 06.</w:t>
      </w:r>
    </w:p>
    <w:p>
      <w:pPr>
        <w:pStyle w:val="ListBullet"/>
      </w:pPr>
      <w:r>
        <w:t>Jour 2 : adaptez les documents 02, 03 et 04 et publiez-les sur votre site, dans le pied de page.</w:t>
      </w:r>
    </w:p>
    <w:p>
      <w:pPr>
        <w:pStyle w:val="ListBullet"/>
      </w:pPr>
      <w:r>
        <w:t>Jour 2 : réglez votre bannière cookies : bouton Refuser aussi visible qu'Accepter, aucun traceur chargé avant le clic. Si vous n'avez que des statistiques exemptées (Matomo configuré selon la CNIL) ou aucun traceur, pas de bannière nécessaire.</w:t>
      </w:r>
    </w:p>
    <w:p>
      <w:pPr>
        <w:pStyle w:val="ListBullet"/>
      </w:pPr>
      <w:r>
        <w:t>Jour 3 : lisez et signez la procédure 05, affichez-la à l'endroit où l'équipe la trouvera. Notez le contact de votre prestataire informatique dedans.</w:t>
      </w:r>
    </w:p>
    <w:p>
      <w:pPr>
        <w:pStyle w:val="ListBullet"/>
      </w:pPr>
      <w:r>
        <w:t>Jour 3 : passez la checklist 07. Ce qui reste en rouge devient votre plan d'action.</w:t>
      </w:r>
    </w:p>
    <w:p>
      <w:pPr>
        <w:pStyle w:val="ListBullet"/>
      </w:pPr>
      <w:r>
        <w:t>Chaque année : relisez le registre, mettez les dates à jour. En cas de contrôle, c'est ce qui prouve une démarche.</w:t>
      </w:r>
    </w:p>
    <w:p>
      <w:pPr>
        <w:spacing w:before="240"/>
      </w:pPr>
      <w:r>
        <w:rPr>
          <w:b/>
          <w:color w:val="15233B"/>
          <w:sz w:val="28"/>
        </w:rPr>
        <w:t>Les 5 erreurs qui coûtent le plus cher aux petites entreprises</w:t>
      </w:r>
    </w:p>
    <w:p>
      <w:pPr>
        <w:pStyle w:val="ListBullet"/>
      </w:pPr>
      <w:r>
        <w:t>Google Analytics, pixel Meta ou vidéo YouTube chargés avant tout consentement : motif principal des sanctions simplifiées de la CNIL en 2025 et 2026.</w:t>
      </w:r>
    </w:p>
    <w:p>
      <w:pPr>
        <w:pStyle w:val="ListBullet"/>
      </w:pPr>
      <w:r>
        <w:t>Caméras sans affichage, ou qui filment les postes de travail en continu, ou images gardées plus de 30 jours.</w:t>
      </w:r>
    </w:p>
    <w:p>
      <w:pPr>
        <w:pStyle w:val="ListBullet"/>
      </w:pPr>
      <w:r>
        <w:t>Ne pas répondre dans le mois à une personne qui demande l'accès ou la suppression de ses données.</w:t>
      </w:r>
    </w:p>
    <w:p>
      <w:pPr>
        <w:pStyle w:val="ListBullet"/>
      </w:pPr>
      <w:r>
        <w:t>Aucun registre : c'est le premier document demandé lors d'un contrôle.</w:t>
      </w:r>
    </w:p>
    <w:p>
      <w:pPr>
        <w:pStyle w:val="ListBullet"/>
      </w:pPr>
      <w:r>
        <w:t>Envoyer des emails commerciaux à des particuliers sans consentement préalable.</w:t>
      </w:r>
    </w:p>
    <w:p>
      <w:pPr>
        <w:spacing w:before="240"/>
      </w:pPr>
      <w:r>
        <w:rPr>
          <w:b/>
          <w:color w:val="15233B"/>
          <w:sz w:val="28"/>
        </w:rPr>
        <w:t>Durées de conservation de référence (recommandations CNIL)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Données</w:t>
            </w:r>
          </w:p>
        </w:tc>
        <w:tc>
          <w:tcPr>
            <w:tcW w:type="dxa" w:w="4873"/>
          </w:tcPr>
          <w:p>
            <w:r>
              <w:rPr>
                <w:b/>
              </w:rPr>
              <w:t>Durée</w:t>
            </w:r>
          </w:p>
        </w:tc>
      </w:tr>
      <w:tr>
        <w:tc>
          <w:tcPr>
            <w:tcW w:type="dxa" w:w="4873"/>
          </w:tcPr>
          <w:p>
            <w:r>
              <w:t>Clients : factures et pièces comptables</w:t>
            </w:r>
          </w:p>
        </w:tc>
        <w:tc>
          <w:tcPr>
            <w:tcW w:type="dxa" w:w="4873"/>
          </w:tcPr>
          <w:p>
            <w:r>
              <w:t>10 ans</w:t>
            </w:r>
          </w:p>
        </w:tc>
      </w:tr>
      <w:tr>
        <w:tc>
          <w:tcPr>
            <w:tcW w:type="dxa" w:w="4873"/>
          </w:tcPr>
          <w:p>
            <w:r>
              <w:t>Clients : coordonnées et échanges commerciaux</w:t>
            </w:r>
          </w:p>
        </w:tc>
        <w:tc>
          <w:tcPr>
            <w:tcW w:type="dxa" w:w="4873"/>
          </w:tcPr>
          <w:p>
            <w:r>
              <w:t>3 ans après la fin de la relation</w:t>
            </w:r>
          </w:p>
        </w:tc>
      </w:tr>
      <w:tr>
        <w:tc>
          <w:tcPr>
            <w:tcW w:type="dxa" w:w="4873"/>
          </w:tcPr>
          <w:p>
            <w:r>
              <w:t>Prospects</w:t>
            </w:r>
          </w:p>
        </w:tc>
        <w:tc>
          <w:tcPr>
            <w:tcW w:type="dxa" w:w="4873"/>
          </w:tcPr>
          <w:p>
            <w:r>
              <w:t>3 ans après le dernier contact</w:t>
            </w:r>
          </w:p>
        </w:tc>
      </w:tr>
      <w:tr>
        <w:tc>
          <w:tcPr>
            <w:tcW w:type="dxa" w:w="4873"/>
          </w:tcPr>
          <w:p>
            <w:r>
              <w:t>Candidats non retenus</w:t>
            </w:r>
          </w:p>
        </w:tc>
        <w:tc>
          <w:tcPr>
            <w:tcW w:type="dxa" w:w="4873"/>
          </w:tcPr>
          <w:p>
            <w:r>
              <w:t>2 ans après le dernier contact</w:t>
            </w:r>
          </w:p>
        </w:tc>
      </w:tr>
      <w:tr>
        <w:tc>
          <w:tcPr>
            <w:tcW w:type="dxa" w:w="4873"/>
          </w:tcPr>
          <w:p>
            <w:r>
              <w:t>Dossier salarié</w:t>
            </w:r>
          </w:p>
        </w:tc>
        <w:tc>
          <w:tcPr>
            <w:tcW w:type="dxa" w:w="4873"/>
          </w:tcPr>
          <w:p>
            <w:r>
              <w:t>Durée du contrat + 5 ans</w:t>
            </w:r>
          </w:p>
        </w:tc>
      </w:tr>
      <w:tr>
        <w:tc>
          <w:tcPr>
            <w:tcW w:type="dxa" w:w="4873"/>
          </w:tcPr>
          <w:p>
            <w:r>
              <w:t>Bulletins de paie</w:t>
            </w:r>
          </w:p>
        </w:tc>
        <w:tc>
          <w:tcPr>
            <w:tcW w:type="dxa" w:w="4873"/>
          </w:tcPr>
          <w:p>
            <w:r>
              <w:t>5 ans (doubles employeur)</w:t>
            </w:r>
          </w:p>
        </w:tc>
      </w:tr>
      <w:tr>
        <w:tc>
          <w:tcPr>
            <w:tcW w:type="dxa" w:w="4873"/>
          </w:tcPr>
          <w:p>
            <w:r>
              <w:t>Vidéosurveillance</w:t>
            </w:r>
          </w:p>
        </w:tc>
        <w:tc>
          <w:tcPr>
            <w:tcW w:type="dxa" w:w="4873"/>
          </w:tcPr>
          <w:p>
            <w:r>
              <w:t>30 jours maximum</w:t>
            </w:r>
          </w:p>
        </w:tc>
      </w:tr>
      <w:tr>
        <w:tc>
          <w:tcPr>
            <w:tcW w:type="dxa" w:w="4873"/>
          </w:tcPr>
          <w:p>
            <w:r>
              <w:t>Journaux de connexion</w:t>
            </w:r>
          </w:p>
        </w:tc>
        <w:tc>
          <w:tcPr>
            <w:tcW w:type="dxa" w:w="4873"/>
          </w:tcPr>
          <w:p>
            <w:r>
              <w:t>6 mois à 1 an</w:t>
            </w:r>
          </w:p>
        </w:tc>
      </w:tr>
      <w:tr>
        <w:tc>
          <w:tcPr>
            <w:tcW w:type="dxa" w:w="4873"/>
          </w:tcPr>
          <w:p>
            <w:r>
              <w:t>Badges et accès</w:t>
            </w:r>
          </w:p>
        </w:tc>
        <w:tc>
          <w:tcPr>
            <w:tcW w:type="dxa" w:w="4873"/>
          </w:tcPr>
          <w:p>
            <w:r>
              <w:t>3 mois (sauf obligation particulière)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