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Procédure de gestion des violations de données</w:t>
      </w:r>
    </w:p>
    <w:p>
      <w:r>
        <w:rPr>
          <w:i/>
          <w:sz w:val="22"/>
        </w:rPr>
        <w:t>Articles 33 et 34 du RGPD. À signer par le gérant et à garder accessible à toute l'équipe.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4873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4873"/>
          </w:tcPr>
          <w:p>
            <w:r>
              <w:t>Référence</w:t>
            </w:r>
          </w:p>
        </w:tc>
        <w:tc>
          <w:tcPr>
            <w:tcW w:type="dxa" w:w="4873"/>
          </w:tcPr>
          <w:p>
            <w:r>
              <w:t>PROC-INC-01</w:t>
            </w:r>
          </w:p>
        </w:tc>
      </w:tr>
      <w:tr>
        <w:tc>
          <w:tcPr>
            <w:tcW w:type="dxa" w:w="4873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t>Date</w:t>
            </w:r>
          </w:p>
        </w:tc>
        <w:tc>
          <w:tcPr>
            <w:tcW w:type="dxa" w:w="4873"/>
          </w:tcPr>
          <w:p>
            <w:r>
              <w:t>[date]</w:t>
            </w:r>
          </w:p>
        </w:tc>
      </w:tr>
      <w:tr>
        <w:tc>
          <w:tcPr>
            <w:tcW w:type="dxa" w:w="4873"/>
          </w:tcPr>
          <w:p>
            <w:r>
              <w:t>Responsable</w:t>
            </w:r>
          </w:p>
        </w:tc>
        <w:tc>
          <w:tcPr>
            <w:tcW w:type="dxa" w:w="4873"/>
          </w:tcPr>
          <w:p>
            <w:r>
              <w:t>[gérant]</w:t>
            </w:r>
          </w:p>
        </w:tc>
      </w:tr>
      <w:tr>
        <w:tc>
          <w:tcPr>
            <w:tcW w:type="dxa" w:w="4873"/>
          </w:tcPr>
          <w:p>
            <w:r>
              <w:t>Prestataire informatique</w:t>
            </w:r>
          </w:p>
        </w:tc>
        <w:tc>
          <w:tcPr>
            <w:tcW w:type="dxa" w:w="4873"/>
          </w:tcPr>
          <w:p>
            <w:r>
              <w:t>[nom, téléphone, email]</w:t>
            </w:r>
          </w:p>
        </w:tc>
      </w:tr>
      <w:tr>
        <w:tc>
          <w:tcPr>
            <w:tcW w:type="dxa" w:w="4873"/>
          </w:tcPr>
          <w:p>
            <w:r>
              <w:t>Référent RGPD</w:t>
            </w:r>
          </w:p>
        </w:tc>
        <w:tc>
          <w:tcPr>
            <w:tcW w:type="dxa" w:w="4873"/>
          </w:tcPr>
          <w:p>
            <w:r>
              <w:t>[nom, email]</w:t>
            </w:r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1. Ce qu'est une violation de données</w:t>
      </w:r>
    </w:p>
    <w:p>
      <w:r>
        <w:t>Tout événement qui entraîne la destruction, la perte, l'altération, la divulgation ou l'accès non autorisé à des données personnelles. Exemples : rançongiciel, email envoyé au mauvais destinataire, ordinateur ou téléphone perdu, mot de passe partagé utilisé par un ancien salarié, dossiers papier jetés sans destruction, site piraté.</w:t>
      </w:r>
    </w:p>
    <w:p>
      <w:pPr>
        <w:spacing w:before="240"/>
      </w:pPr>
      <w:r>
        <w:rPr>
          <w:b/>
          <w:color w:val="15233B"/>
          <w:sz w:val="28"/>
        </w:rPr>
        <w:t>2. Les quatre étapes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Qui</w:t>
            </w:r>
          </w:p>
        </w:tc>
        <w:tc>
          <w:tcPr>
            <w:tcW w:type="dxa" w:w="2436"/>
          </w:tcPr>
          <w:p>
            <w:r>
              <w:rPr>
                <w:b/>
              </w:rPr>
              <w:t>Quand</w:t>
            </w:r>
          </w:p>
        </w:tc>
        <w:tc>
          <w:tcPr>
            <w:tcW w:type="dxa" w:w="2436"/>
          </w:tcPr>
          <w:p>
            <w:r>
              <w:rPr>
                <w:b/>
              </w:rPr>
              <w:t>Quoi</w:t>
            </w:r>
          </w:p>
        </w:tc>
      </w:tr>
      <w:tr>
        <w:tc>
          <w:tcPr>
            <w:tcW w:type="dxa" w:w="2436"/>
          </w:tcPr>
          <w:p>
            <w:r>
              <w:t>Signaler</w:t>
            </w:r>
          </w:p>
        </w:tc>
        <w:tc>
          <w:tcPr>
            <w:tcW w:type="dxa" w:w="2436"/>
          </w:tcPr>
          <w:p>
            <w:r>
              <w:t>Toute personne qui constate</w:t>
            </w:r>
          </w:p>
        </w:tc>
        <w:tc>
          <w:tcPr>
            <w:tcW w:type="dxa" w:w="2436"/>
          </w:tcPr>
          <w:p>
            <w:r>
              <w:t>Immédiatement</w:t>
            </w:r>
          </w:p>
        </w:tc>
        <w:tc>
          <w:tcPr>
            <w:tcW w:type="dxa" w:w="2436"/>
          </w:tcPr>
          <w:p>
            <w:r>
              <w:t>Prévenir le gérant et le prestataire informatique. Ne rien effacer. Noter l'heure, ce qui a été vu.</w:t>
            </w:r>
          </w:p>
        </w:tc>
      </w:tr>
      <w:tr>
        <w:tc>
          <w:tcPr>
            <w:tcW w:type="dxa" w:w="2436"/>
          </w:tcPr>
          <w:p>
            <w:r>
              <w:t>Contenir</w:t>
            </w:r>
          </w:p>
        </w:tc>
        <w:tc>
          <w:tcPr>
            <w:tcW w:type="dxa" w:w="2436"/>
          </w:tcPr>
          <w:p>
            <w:r>
              <w:t>Gérant + informatique</w:t>
            </w:r>
          </w:p>
        </w:tc>
        <w:tc>
          <w:tcPr>
            <w:tcW w:type="dxa" w:w="2436"/>
          </w:tcPr>
          <w:p>
            <w:r>
              <w:t>Dans l'heure</w:t>
            </w:r>
          </w:p>
        </w:tc>
        <w:tc>
          <w:tcPr>
            <w:tcW w:type="dxa" w:w="2436"/>
          </w:tcPr>
          <w:p>
            <w:r>
              <w:t>Couper les accès concernés, isoler le poste, changer les mots de passe, restaurer depuis une sauvegarde saine.</w:t>
            </w:r>
          </w:p>
        </w:tc>
      </w:tr>
      <w:tr>
        <w:tc>
          <w:tcPr>
            <w:tcW w:type="dxa" w:w="2436"/>
          </w:tcPr>
          <w:p>
            <w:r>
              <w:t>Évaluer</w:t>
            </w:r>
          </w:p>
        </w:tc>
        <w:tc>
          <w:tcPr>
            <w:tcW w:type="dxa" w:w="2436"/>
          </w:tcPr>
          <w:p>
            <w:r>
              <w:t>Gérant</w:t>
            </w:r>
          </w:p>
        </w:tc>
        <w:tc>
          <w:tcPr>
            <w:tcW w:type="dxa" w:w="2436"/>
          </w:tcPr>
          <w:p>
            <w:r>
              <w:t>Dans les 24 h</w:t>
            </w:r>
          </w:p>
        </w:tc>
        <w:tc>
          <w:tcPr>
            <w:tcW w:type="dxa" w:w="2436"/>
          </w:tcPr>
          <w:p>
            <w:r>
              <w:t>Quelles données, combien de personnes, quel risque pour elles (usurpation, fraude, atteinte à la vie privée). Remplir l'onglet Incidents du registre.</w:t>
            </w:r>
          </w:p>
        </w:tc>
      </w:tr>
      <w:tr>
        <w:tc>
          <w:tcPr>
            <w:tcW w:type="dxa" w:w="2436"/>
          </w:tcPr>
          <w:p>
            <w:r>
              <w:t>Notifier</w:t>
            </w:r>
          </w:p>
        </w:tc>
        <w:tc>
          <w:tcPr>
            <w:tcW w:type="dxa" w:w="2436"/>
          </w:tcPr>
          <w:p>
            <w:r>
              <w:t>Gérant</w:t>
            </w:r>
          </w:p>
        </w:tc>
        <w:tc>
          <w:tcPr>
            <w:tcW w:type="dxa" w:w="2436"/>
          </w:tcPr>
          <w:p>
            <w:r>
              <w:t>Sous 72 h</w:t>
            </w:r>
          </w:p>
        </w:tc>
        <w:tc>
          <w:tcPr>
            <w:tcW w:type="dxa" w:w="2436"/>
          </w:tcPr>
          <w:p>
            <w:r>
              <w:t>Si risque pour les personnes : notification à la CNIL sur notifications.cnil.fr. Si risque élevé : informer aussi les personnes concernées en termes clairs. Si aucun risque : documenter la décision dans le registre.</w:t>
            </w:r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3. Contenu de la notification CNIL</w:t>
      </w:r>
    </w:p>
    <w:p>
      <w:pPr>
        <w:pStyle w:val="ListBullet"/>
      </w:pPr>
      <w:r>
        <w:t>Nature de la violation, catégories et nombre approximatif de personnes et d'enregistrements concernés</w:t>
      </w:r>
    </w:p>
    <w:p>
      <w:pPr>
        <w:pStyle w:val="ListBullet"/>
      </w:pPr>
      <w:r>
        <w:t>Conséquences probables</w:t>
      </w:r>
    </w:p>
    <w:p>
      <w:pPr>
        <w:pStyle w:val="ListBullet"/>
      </w:pPr>
      <w:r>
        <w:t>Mesures prises ou envisagées</w:t>
      </w:r>
    </w:p>
    <w:p>
      <w:pPr>
        <w:pStyle w:val="ListBullet"/>
      </w:pPr>
      <w:r>
        <w:t>Coordonnées du contact</w:t>
      </w:r>
    </w:p>
    <w:p>
      <w:pPr>
        <w:spacing w:before="240"/>
      </w:pPr>
      <w:r>
        <w:rPr>
          <w:b/>
          <w:color w:val="15233B"/>
          <w:sz w:val="28"/>
        </w:rPr>
        <w:t>4. Après l'incident</w:t>
      </w:r>
    </w:p>
    <w:p>
      <w:pPr>
        <w:pStyle w:val="ListBullet"/>
      </w:pPr>
      <w:r>
        <w:t>Réunion de retour d'expérience sous 15 jours</w:t>
      </w:r>
    </w:p>
    <w:p>
      <w:pPr>
        <w:pStyle w:val="ListBullet"/>
      </w:pPr>
      <w:r>
        <w:t>Mise à jour des mesures de sécurité dans le registre</w:t>
      </w:r>
    </w:p>
    <w:p>
      <w:pPr>
        <w:pStyle w:val="ListBullet"/>
      </w:pPr>
      <w:r>
        <w:t>Dépôt de plainte en cas d'acte malveillant</w:t>
      </w:r>
    </w:p>
    <w:p>
      <w:r>
        <w:t>Signature du gérant : ____________________   Date : 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