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232F"/>
          <w:sz w:val="18"/>
        </w:rPr>
        <w:t>KIT RGPD TPE</w:t>
      </w:r>
    </w:p>
    <w:p>
      <w:r>
        <w:rPr>
          <w:b/>
          <w:color w:val="15233B"/>
          <w:sz w:val="44"/>
        </w:rPr>
        <w:t>Checklist conformité TPE</w:t>
      </w:r>
    </w:p>
    <w:p>
      <w:r>
        <w:rPr>
          <w:i/>
          <w:sz w:val="22"/>
        </w:rPr>
        <w:t>30 questions. Trois réponses « non » dans une même section = priorité.</w:t>
      </w:r>
    </w:p>
    <w:p>
      <w:r>
        <w:rPr>
          <w:sz w:val="18"/>
        </w:rPr>
        <w:t>Modèle version 1.0, 13 octobre 2026. Les champs entre [crochets] sont à remplacer. Supprimez cette ligne avant publication.</w:t>
      </w:r>
    </w:p>
    <w:p>
      <w:pPr>
        <w:spacing w:before="240"/>
      </w:pPr>
      <w:r>
        <w:rPr>
          <w:b/>
          <w:color w:val="15233B"/>
          <w:sz w:val="28"/>
        </w:rP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436"/>
          </w:tcPr>
          <w:p>
            <w:r>
              <w:t>Nous avons un registre des traitements à jour (moins d'un an).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Chaque traitement a une finalité, une base légale et une durée de conservation écrites.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Nous savons qui est le référent RGPD dans l'entreprise.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Nos sous-traitants sont listés, avec une clause RGPD pour chacun.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Nous savons si des données partent hors de l'Union européenne et comment c'est encadré.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Information des personnes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436"/>
          </w:tcPr>
          <w:p>
            <w:r>
              <w:t>Le site a des mentions légales complètes.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 site a une politique de confidentialité accessible depuis chaque page.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Chaque formulaire indique pourquoi les données sont collectées et renvoie vers la politique.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Les salariés ont reçu une information sur l'utilisation de leurs données (note ou charte).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La vidéosurveillance est signalée par un panneau avec finalité, durée, contact.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Cookies et site web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436"/>
          </w:tcPr>
          <w:p>
            <w:r>
              <w:t>Une bannière propose Accepter et Refuser avec la même visibilité.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Aucun traceur non essentiel n'est chargé avant le consentement.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 choix est modifiable à tout moment via un lien en pied de page.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 site est en HTTPS et son CMS est à jour.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Les polices, cartes et vidéos tierces sont chargées avec consentement ou hébergées localement.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Droits des personnes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436"/>
          </w:tcPr>
          <w:p>
            <w:r>
              <w:t>Une adresse email est dédiée aux demandes et consultée chaque semaine.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Nous savons répondre à une demande d'accès ou d'effacement en moins d'un mois.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Chaque demande est notée dans le registre des demandes.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Chaque email commercial contient un lien de désinscription qui fonctionne.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Nous ne prospectons pas de particuliers sans leur consentement.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436"/>
          </w:tcPr>
          <w:p>
            <w:r>
              <w:t>Un identifiant par personne, aucun mot de passe partagé.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Double authentification sur la messagerie et les outils critiques.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Sauvegarde automatique testée dans l'année.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Antivirus et mises à jour automatiques sur tous les postes.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Les accès d'un salarié parti sont coupés le jour même.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Incidents et conservation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436"/>
          </w:tcPr>
          <w:p>
            <w:r>
              <w:t>La procédure de violation de données est écrite et connue de l'équipe.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Nous savons notifier la CNIL sous 72 heures.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Les données périmées sont supprimées au moins une fois par an.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Les images de vidéosurveillance sont écrasées sous 30 jours.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Les dossiers papier sensibles (RH, santé) sont sous clé.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>
              <w:t>☐</w:t>
            </w:r>
          </w:p>
        </w:tc>
        <w:tc>
          <w:tcPr>
            <w:tcW w:type="dxa" w:w="2436"/>
          </w:tcPr>
          <w:p>
            <w:r/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