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21F43" w14:textId="77777777" w:rsidR="00680D86" w:rsidRDefault="00680D86">
      <w:pPr>
        <w:jc w:val="center"/>
        <w:rPr>
          <w:rFonts w:ascii="Verdana" w:eastAsia="Verdana" w:hAnsi="Verdana" w:cs="Verdana"/>
          <w:szCs w:val="20"/>
        </w:rPr>
      </w:pPr>
      <w:bookmarkStart w:id="0" w:name="MemberLogo"/>
    </w:p>
    <w:p w14:paraId="4A66198B" w14:textId="77777777" w:rsidR="00680D86" w:rsidRDefault="00680D86">
      <w:pPr>
        <w:jc w:val="center"/>
        <w:rPr>
          <w:rFonts w:ascii="Verdana" w:eastAsia="Verdana" w:hAnsi="Verdana" w:cs="Verdana"/>
          <w:szCs w:val="20"/>
        </w:rPr>
      </w:pPr>
    </w:p>
    <w:p w14:paraId="49EECFEC" w14:textId="77777777" w:rsidR="00680D86" w:rsidRDefault="00680D86">
      <w:pPr>
        <w:jc w:val="center"/>
        <w:rPr>
          <w:rFonts w:ascii="Verdana" w:eastAsia="Verdana" w:hAnsi="Verdana" w:cs="Verdana"/>
          <w:szCs w:val="20"/>
        </w:rPr>
      </w:pPr>
    </w:p>
    <w:p w14:paraId="69AB762F" w14:textId="77777777" w:rsidR="00680D86" w:rsidRDefault="00680D86">
      <w:pPr>
        <w:jc w:val="center"/>
        <w:rPr>
          <w:rFonts w:ascii="Verdana" w:eastAsia="Verdana" w:hAnsi="Verdana" w:cs="Verdana"/>
          <w:szCs w:val="20"/>
        </w:rPr>
      </w:pPr>
    </w:p>
    <w:p w14:paraId="71E1E707" w14:textId="77777777" w:rsidR="00680D86" w:rsidRDefault="00680D86">
      <w:pPr>
        <w:jc w:val="center"/>
        <w:rPr>
          <w:rFonts w:ascii="Verdana" w:eastAsia="Verdana" w:hAnsi="Verdana" w:cs="Verdana"/>
          <w:szCs w:val="20"/>
        </w:rPr>
      </w:pPr>
    </w:p>
    <w:p w14:paraId="0268DE59" w14:textId="77777777" w:rsidR="00680D86" w:rsidRDefault="00680D86">
      <w:pPr>
        <w:jc w:val="center"/>
        <w:rPr>
          <w:rFonts w:ascii="Verdana" w:eastAsia="Verdana" w:hAnsi="Verdana" w:cs="Verdana"/>
          <w:szCs w:val="20"/>
        </w:rPr>
      </w:pPr>
    </w:p>
    <w:p w14:paraId="0C26B7E7" w14:textId="77777777" w:rsidR="00680D86" w:rsidRDefault="00B359A4">
      <w:pPr>
        <w:jc w:val="center"/>
        <w:rPr>
          <w:rFonts w:ascii="Verdana" w:eastAsia="Verdana" w:hAnsi="Verdana" w:cs="Verdana"/>
          <w:szCs w:val="20"/>
        </w:rPr>
      </w:pPr>
      <w:r>
        <w:rPr>
          <w:noProof/>
        </w:rPr>
        <w:drawing>
          <wp:inline distT="0" distB="0" distL="0" distR="0" wp14:anchorId="008BA490" wp14:editId="0834E10A">
            <wp:extent cx="245745" cy="61912"/>
            <wp:effectExtent l="0" t="0" r="0" b="0"/>
            <wp:docPr id="1" name="Picture 2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 cy="61912"/>
                    </a:xfrm>
                    <a:prstGeom prst="rect">
                      <a:avLst/>
                    </a:prstGeom>
                  </pic:spPr>
                </pic:pic>
              </a:graphicData>
            </a:graphic>
          </wp:inline>
        </w:drawing>
      </w:r>
    </w:p>
    <w:bookmarkEnd w:id="0"/>
    <w:p w14:paraId="4469DBE8" w14:textId="77777777" w:rsidR="00680D86" w:rsidRDefault="00680D86">
      <w:pPr>
        <w:rPr>
          <w:rFonts w:ascii="Verdana" w:eastAsia="Verdana" w:hAnsi="Verdana" w:cs="Verdana"/>
          <w:szCs w:val="20"/>
        </w:rPr>
      </w:pPr>
    </w:p>
    <w:p w14:paraId="2C262C97" w14:textId="77777777" w:rsidR="00680D86" w:rsidRDefault="00680D86">
      <w:pPr>
        <w:rPr>
          <w:rFonts w:ascii="Verdana" w:eastAsia="Verdana" w:hAnsi="Verdana" w:cs="Verdana"/>
          <w:szCs w:val="20"/>
        </w:rPr>
      </w:pPr>
    </w:p>
    <w:p w14:paraId="4F8954D4" w14:textId="77777777" w:rsidR="00680D86" w:rsidRDefault="00680D86">
      <w:pPr>
        <w:rPr>
          <w:rFonts w:ascii="Verdana" w:eastAsia="Verdana" w:hAnsi="Verdana" w:cs="Verdana"/>
          <w:szCs w:val="20"/>
        </w:rPr>
      </w:pPr>
    </w:p>
    <w:p w14:paraId="628816CA" w14:textId="77777777" w:rsidR="00680D86" w:rsidRDefault="00680D86">
      <w:pPr>
        <w:rPr>
          <w:rFonts w:ascii="Verdana" w:eastAsia="Verdana" w:hAnsi="Verdana" w:cs="Verdana"/>
          <w:szCs w:val="20"/>
        </w:rPr>
      </w:pPr>
    </w:p>
    <w:p w14:paraId="19DF320E" w14:textId="77777777" w:rsidR="00680D86" w:rsidRDefault="00B359A4">
      <w:pPr>
        <w:pStyle w:val="Heading1"/>
        <w:jc w:val="center"/>
      </w:pPr>
      <w:r>
        <w:t>Risk Report</w:t>
      </w:r>
    </w:p>
    <w:p w14:paraId="2290016E" w14:textId="77777777" w:rsidR="00680D86" w:rsidRDefault="00680D86">
      <w:pPr>
        <w:jc w:val="center"/>
        <w:rPr>
          <w:rFonts w:cs="Calibri"/>
          <w:sz w:val="28"/>
          <w:szCs w:val="28"/>
        </w:rPr>
      </w:pPr>
    </w:p>
    <w:p w14:paraId="0993913C" w14:textId="77777777" w:rsidR="00680D86" w:rsidRDefault="00680D86">
      <w:pPr>
        <w:jc w:val="center"/>
        <w:rPr>
          <w:rFonts w:cs="Calibri"/>
          <w:sz w:val="28"/>
          <w:szCs w:val="28"/>
        </w:rPr>
      </w:pPr>
    </w:p>
    <w:p w14:paraId="7D376E14" w14:textId="77777777" w:rsidR="00680D86" w:rsidRDefault="00B359A4">
      <w:pPr>
        <w:jc w:val="center"/>
        <w:rPr>
          <w:rFonts w:cs="Calibri"/>
          <w:sz w:val="28"/>
          <w:szCs w:val="28"/>
        </w:rPr>
      </w:pPr>
      <w:r>
        <w:rPr>
          <w:rFonts w:cs="Calibri"/>
          <w:sz w:val="28"/>
          <w:szCs w:val="28"/>
        </w:rPr>
        <w:t>Prepared for</w:t>
      </w:r>
    </w:p>
    <w:p w14:paraId="5286F9D0" w14:textId="77777777" w:rsidR="00680D86" w:rsidRDefault="00680D86">
      <w:pPr>
        <w:jc w:val="center"/>
        <w:rPr>
          <w:rFonts w:cs="Calibri"/>
          <w:sz w:val="28"/>
          <w:szCs w:val="28"/>
        </w:rPr>
      </w:pPr>
    </w:p>
    <w:p w14:paraId="1F2A86D8" w14:textId="77777777" w:rsidR="00680D86" w:rsidRDefault="00B359A4">
      <w:pPr>
        <w:jc w:val="center"/>
        <w:rPr>
          <w:rFonts w:cs="Calibri"/>
          <w:sz w:val="28"/>
          <w:szCs w:val="28"/>
        </w:rPr>
      </w:pPr>
      <w:r>
        <w:rPr>
          <w:rFonts w:cs="Calibri"/>
          <w:sz w:val="28"/>
          <w:szCs w:val="28"/>
        </w:rPr>
        <w:t>Richard Painter</w:t>
      </w:r>
    </w:p>
    <w:p w14:paraId="3D83BD9F" w14:textId="77777777" w:rsidR="00680D86" w:rsidRDefault="00680D86">
      <w:pPr>
        <w:jc w:val="center"/>
        <w:rPr>
          <w:rFonts w:cs="Calibri"/>
          <w:sz w:val="28"/>
          <w:szCs w:val="28"/>
        </w:rPr>
      </w:pPr>
    </w:p>
    <w:p w14:paraId="020E5C99" w14:textId="77777777" w:rsidR="00680D86" w:rsidRDefault="00B359A4">
      <w:pPr>
        <w:jc w:val="center"/>
        <w:rPr>
          <w:rFonts w:cs="Calibri"/>
          <w:sz w:val="28"/>
          <w:szCs w:val="28"/>
        </w:rPr>
      </w:pPr>
      <w:r>
        <w:rPr>
          <w:rFonts w:cs="Calibri"/>
          <w:sz w:val="28"/>
          <w:szCs w:val="28"/>
        </w:rPr>
        <w:t>on</w:t>
      </w:r>
    </w:p>
    <w:p w14:paraId="7C031945" w14:textId="77777777" w:rsidR="00680D86" w:rsidRDefault="00680D86">
      <w:pPr>
        <w:jc w:val="center"/>
        <w:rPr>
          <w:rFonts w:cs="Calibri"/>
          <w:sz w:val="28"/>
          <w:szCs w:val="28"/>
        </w:rPr>
      </w:pPr>
    </w:p>
    <w:p w14:paraId="1DED550C" w14:textId="77777777" w:rsidR="00680D86" w:rsidRDefault="00B359A4">
      <w:pPr>
        <w:jc w:val="center"/>
        <w:rPr>
          <w:rFonts w:cs="Calibri"/>
          <w:sz w:val="28"/>
          <w:szCs w:val="28"/>
        </w:rPr>
      </w:pPr>
      <w:r>
        <w:rPr>
          <w:rFonts w:cs="Calibri"/>
          <w:sz w:val="28"/>
          <w:szCs w:val="28"/>
        </w:rPr>
        <w:t>22-Apr-2025</w:t>
      </w:r>
    </w:p>
    <w:p w14:paraId="34E463D5" w14:textId="77777777" w:rsidR="00680D86" w:rsidRDefault="00680D86">
      <w:pPr>
        <w:jc w:val="center"/>
        <w:rPr>
          <w:rFonts w:ascii="Verdana" w:eastAsia="Verdana" w:hAnsi="Verdana" w:cs="Verdana"/>
          <w:szCs w:val="20"/>
        </w:rPr>
      </w:pPr>
    </w:p>
    <w:p w14:paraId="38D6BE3E" w14:textId="77777777" w:rsidR="00680D86" w:rsidRDefault="00680D86">
      <w:pPr>
        <w:rPr>
          <w:rFonts w:ascii="Verdana" w:eastAsia="Verdana" w:hAnsi="Verdana" w:cs="Verdana"/>
          <w:szCs w:val="20"/>
        </w:rPr>
      </w:pPr>
    </w:p>
    <w:p w14:paraId="214D1E87" w14:textId="77777777" w:rsidR="00680D86" w:rsidRDefault="00B359A4">
      <w:pPr>
        <w:pStyle w:val="Heading1"/>
      </w:pPr>
      <w:r>
        <w:rPr>
          <w:rFonts w:ascii="Verdana" w:eastAsia="Verdana" w:hAnsi="Verdana" w:cs="Verdana"/>
          <w:sz w:val="20"/>
          <w:szCs w:val="20"/>
        </w:rPr>
        <w:br w:type="page"/>
      </w:r>
      <w:r>
        <w:lastRenderedPageBreak/>
        <w:t>Contents</w:t>
      </w:r>
    </w:p>
    <w:p w14:paraId="2698D7E4" w14:textId="77777777" w:rsidR="00680D86" w:rsidRDefault="00680D86">
      <w:pPr>
        <w:widowControl w:val="0"/>
        <w:autoSpaceDE w:val="0"/>
        <w:autoSpaceDN w:val="0"/>
        <w:adjustRightInd w:val="0"/>
        <w:rPr>
          <w:rFonts w:cs="Calibri"/>
          <w:bCs/>
          <w:szCs w:val="20"/>
        </w:rPr>
      </w:pPr>
    </w:p>
    <w:p w14:paraId="509F1E2B" w14:textId="77777777" w:rsidR="00680D86" w:rsidRDefault="00680D86">
      <w:pPr>
        <w:pStyle w:val="TableOfContents"/>
      </w:pPr>
    </w:p>
    <w:p w14:paraId="03553762" w14:textId="77777777" w:rsidR="00680D86" w:rsidRDefault="00B359A4">
      <w:pPr>
        <w:pStyle w:val="TableOfContents"/>
        <w:rPr>
          <w:rFonts w:eastAsia="Calibri"/>
          <w:noProof/>
          <w:color w:val="000000"/>
          <w:sz w:val="32"/>
          <w:lang w:eastAsia="en-GB"/>
        </w:rPr>
      </w:pPr>
      <w:r>
        <w:fldChar w:fldCharType="begin"/>
      </w:r>
      <w:r>
        <w:rPr>
          <w:color w:val="000000"/>
          <w:sz w:val="32"/>
        </w:rPr>
        <w:instrText xml:space="preserve"> TOC \n \h \z \u \t "Heading 2,1" </w:instrText>
      </w:r>
      <w:r>
        <w:fldChar w:fldCharType="separate"/>
      </w:r>
      <w:hyperlink w:anchor="_Toc295208084" w:history="1">
        <w:r>
          <w:rPr>
            <w:rStyle w:val="Hyperlink"/>
            <w:noProof/>
            <w:color w:val="000000"/>
            <w:sz w:val="32"/>
            <w:szCs w:val="32"/>
          </w:rPr>
          <w:t>1.</w:t>
        </w:r>
        <w:r>
          <w:rPr>
            <w:rFonts w:eastAsia="Calibri"/>
            <w:noProof/>
            <w:color w:val="000000"/>
            <w:sz w:val="32"/>
            <w:lang w:eastAsia="en-GB"/>
          </w:rPr>
          <w:tab/>
        </w:r>
        <w:r>
          <w:rPr>
            <w:rStyle w:val="Hyperlink"/>
            <w:noProof/>
            <w:color w:val="000000"/>
            <w:sz w:val="32"/>
            <w:szCs w:val="32"/>
          </w:rPr>
          <w:t>Why is your attitude to risk so important?</w:t>
        </w:r>
      </w:hyperlink>
    </w:p>
    <w:p w14:paraId="773A6352" w14:textId="77777777" w:rsidR="00680D86" w:rsidRDefault="00B359A4">
      <w:pPr>
        <w:pStyle w:val="TableOfContents"/>
        <w:rPr>
          <w:rFonts w:eastAsia="Calibri"/>
          <w:noProof/>
          <w:color w:val="000000"/>
          <w:sz w:val="32"/>
          <w:lang w:eastAsia="en-GB"/>
        </w:rPr>
      </w:pPr>
      <w:hyperlink w:anchor="_Toc295208085" w:history="1">
        <w:r>
          <w:rPr>
            <w:rStyle w:val="Hyperlink"/>
            <w:noProof/>
            <w:color w:val="000000"/>
            <w:sz w:val="32"/>
            <w:szCs w:val="32"/>
          </w:rPr>
          <w:t>2.</w:t>
        </w:r>
        <w:r>
          <w:rPr>
            <w:rFonts w:eastAsia="Calibri"/>
            <w:noProof/>
            <w:color w:val="000000"/>
            <w:sz w:val="32"/>
            <w:lang w:eastAsia="en-GB"/>
          </w:rPr>
          <w:tab/>
        </w:r>
        <w:r>
          <w:rPr>
            <w:rStyle w:val="Hyperlink"/>
            <w:noProof/>
            <w:color w:val="000000"/>
            <w:sz w:val="32"/>
            <w:szCs w:val="32"/>
          </w:rPr>
          <w:t>Our risk assessment process</w:t>
        </w:r>
      </w:hyperlink>
    </w:p>
    <w:p w14:paraId="16012DE4" w14:textId="77777777" w:rsidR="00680D86" w:rsidRDefault="00B359A4">
      <w:pPr>
        <w:pStyle w:val="TableOfContents"/>
        <w:rPr>
          <w:rFonts w:eastAsia="Calibri"/>
          <w:noProof/>
          <w:color w:val="000000"/>
          <w:sz w:val="32"/>
          <w:lang w:eastAsia="en-GB"/>
        </w:rPr>
      </w:pPr>
      <w:hyperlink w:anchor="_Toc295208086" w:history="1">
        <w:r>
          <w:rPr>
            <w:rStyle w:val="Hyperlink"/>
            <w:noProof/>
            <w:color w:val="000000"/>
            <w:sz w:val="32"/>
            <w:szCs w:val="32"/>
          </w:rPr>
          <w:t>3.</w:t>
        </w:r>
        <w:r>
          <w:rPr>
            <w:rFonts w:eastAsia="Calibri"/>
            <w:noProof/>
            <w:color w:val="000000"/>
            <w:sz w:val="32"/>
            <w:lang w:eastAsia="en-GB"/>
          </w:rPr>
          <w:tab/>
        </w:r>
        <w:r>
          <w:rPr>
            <w:rStyle w:val="Hyperlink"/>
            <w:noProof/>
            <w:color w:val="000000"/>
            <w:sz w:val="32"/>
            <w:szCs w:val="32"/>
          </w:rPr>
          <w:t>Your risk questionnaire answers</w:t>
        </w:r>
      </w:hyperlink>
    </w:p>
    <w:p w14:paraId="464A3A00" w14:textId="77777777" w:rsidR="00680D86" w:rsidRDefault="00B359A4">
      <w:pPr>
        <w:pStyle w:val="TableOfContents"/>
        <w:rPr>
          <w:rFonts w:eastAsia="Calibri"/>
          <w:noProof/>
          <w:color w:val="000000"/>
          <w:sz w:val="32"/>
          <w:lang w:eastAsia="en-GB"/>
        </w:rPr>
      </w:pPr>
      <w:hyperlink w:anchor="_Toc295208087" w:history="1">
        <w:r>
          <w:rPr>
            <w:rStyle w:val="Hyperlink"/>
            <w:noProof/>
            <w:color w:val="000000"/>
            <w:sz w:val="32"/>
            <w:szCs w:val="32"/>
          </w:rPr>
          <w:t>4.</w:t>
        </w:r>
        <w:r>
          <w:rPr>
            <w:rFonts w:eastAsia="Calibri"/>
            <w:noProof/>
            <w:color w:val="000000"/>
            <w:sz w:val="32"/>
            <w:lang w:eastAsia="en-GB"/>
          </w:rPr>
          <w:tab/>
        </w:r>
        <w:r>
          <w:rPr>
            <w:rStyle w:val="Hyperlink"/>
            <w:noProof/>
            <w:color w:val="000000"/>
            <w:sz w:val="32"/>
            <w:szCs w:val="32"/>
          </w:rPr>
          <w:t>Your risk questionnaire results</w:t>
        </w:r>
      </w:hyperlink>
    </w:p>
    <w:p w14:paraId="289FF85B" w14:textId="77777777" w:rsidR="00680D86" w:rsidRDefault="00B359A4">
      <w:pPr>
        <w:pStyle w:val="TableOfContents"/>
        <w:rPr>
          <w:rFonts w:eastAsia="Calibri"/>
          <w:noProof/>
          <w:color w:val="000000"/>
          <w:sz w:val="32"/>
          <w:lang w:eastAsia="en-GB"/>
        </w:rPr>
      </w:pPr>
      <w:hyperlink w:anchor="_Toc295208088" w:history="1">
        <w:r>
          <w:rPr>
            <w:rStyle w:val="Hyperlink"/>
            <w:noProof/>
            <w:color w:val="000000"/>
            <w:sz w:val="32"/>
            <w:szCs w:val="32"/>
          </w:rPr>
          <w:t>5.</w:t>
        </w:r>
        <w:r>
          <w:rPr>
            <w:rFonts w:eastAsia="Calibri"/>
            <w:noProof/>
            <w:color w:val="000000"/>
            <w:sz w:val="32"/>
            <w:lang w:eastAsia="en-GB"/>
          </w:rPr>
          <w:tab/>
        </w:r>
        <w:r>
          <w:rPr>
            <w:rStyle w:val="Hyperlink"/>
            <w:noProof/>
            <w:color w:val="000000"/>
            <w:sz w:val="32"/>
            <w:szCs w:val="32"/>
          </w:rPr>
          <w:t>Asset Allocation</w:t>
        </w:r>
      </w:hyperlink>
    </w:p>
    <w:p w14:paraId="1C07732F" w14:textId="77777777" w:rsidR="00680D86" w:rsidRDefault="00B359A4">
      <w:pPr>
        <w:pStyle w:val="TableOfContents"/>
        <w:rPr>
          <w:rFonts w:eastAsia="Calibri"/>
          <w:noProof/>
          <w:color w:val="000000"/>
          <w:sz w:val="32"/>
          <w:lang w:eastAsia="en-GB"/>
        </w:rPr>
      </w:pPr>
      <w:hyperlink w:anchor="_Toc295208089" w:history="1">
        <w:r>
          <w:rPr>
            <w:rStyle w:val="Hyperlink"/>
            <w:noProof/>
            <w:color w:val="000000"/>
            <w:sz w:val="32"/>
            <w:szCs w:val="32"/>
          </w:rPr>
          <w:t>6.</w:t>
        </w:r>
        <w:r>
          <w:rPr>
            <w:rFonts w:eastAsia="Calibri"/>
            <w:noProof/>
            <w:color w:val="000000"/>
            <w:sz w:val="32"/>
            <w:lang w:eastAsia="en-GB"/>
          </w:rPr>
          <w:tab/>
        </w:r>
        <w:r>
          <w:rPr>
            <w:rStyle w:val="Hyperlink"/>
            <w:noProof/>
            <w:color w:val="000000"/>
            <w:sz w:val="32"/>
            <w:szCs w:val="32"/>
          </w:rPr>
          <w:t>Financial Ratios</w:t>
        </w:r>
      </w:hyperlink>
    </w:p>
    <w:p w14:paraId="64DA876C" w14:textId="77777777" w:rsidR="00680D86" w:rsidRDefault="00B359A4">
      <w:pPr>
        <w:pStyle w:val="TableOfContents"/>
        <w:rPr>
          <w:rFonts w:eastAsia="Calibri"/>
          <w:noProof/>
          <w:color w:val="000000"/>
          <w:sz w:val="32"/>
          <w:lang w:eastAsia="en-GB"/>
        </w:rPr>
      </w:pPr>
      <w:hyperlink w:anchor="_Toc295208090" w:history="1">
        <w:r>
          <w:rPr>
            <w:rStyle w:val="Hyperlink"/>
            <w:noProof/>
            <w:color w:val="000000"/>
            <w:sz w:val="32"/>
            <w:szCs w:val="32"/>
          </w:rPr>
          <w:t>7.</w:t>
        </w:r>
        <w:r>
          <w:rPr>
            <w:rFonts w:eastAsia="Calibri"/>
            <w:noProof/>
            <w:color w:val="000000"/>
            <w:sz w:val="32"/>
            <w:lang w:eastAsia="en-GB"/>
          </w:rPr>
          <w:tab/>
        </w:r>
        <w:r>
          <w:rPr>
            <w:rStyle w:val="Hyperlink"/>
            <w:noProof/>
            <w:color w:val="000000"/>
            <w:sz w:val="32"/>
            <w:szCs w:val="32"/>
          </w:rPr>
          <w:t>Example range of annualised returns</w:t>
        </w:r>
      </w:hyperlink>
    </w:p>
    <w:p w14:paraId="2E8A20AA" w14:textId="77777777" w:rsidR="00680D86" w:rsidRDefault="00B359A4">
      <w:pPr>
        <w:pStyle w:val="TableOfContents"/>
        <w:rPr>
          <w:rFonts w:eastAsia="Calibri"/>
          <w:noProof/>
          <w:color w:val="000000"/>
          <w:sz w:val="32"/>
          <w:lang w:eastAsia="en-GB"/>
        </w:rPr>
      </w:pPr>
      <w:hyperlink w:anchor="_Toc295208091" w:history="1">
        <w:r>
          <w:rPr>
            <w:rStyle w:val="Hyperlink"/>
            <w:noProof/>
            <w:color w:val="000000"/>
            <w:sz w:val="32"/>
            <w:szCs w:val="32"/>
          </w:rPr>
          <w:t>8.</w:t>
        </w:r>
        <w:r>
          <w:rPr>
            <w:rFonts w:eastAsia="Calibri"/>
            <w:noProof/>
            <w:color w:val="000000"/>
            <w:sz w:val="32"/>
            <w:lang w:eastAsia="en-GB"/>
          </w:rPr>
          <w:tab/>
        </w:r>
        <w:r>
          <w:rPr>
            <w:rStyle w:val="Hyperlink"/>
            <w:noProof/>
            <w:color w:val="000000"/>
            <w:sz w:val="32"/>
            <w:szCs w:val="32"/>
          </w:rPr>
          <w:t>Capacity for risk</w:t>
        </w:r>
      </w:hyperlink>
    </w:p>
    <w:p w14:paraId="0413D8DA" w14:textId="77777777" w:rsidR="00680D86" w:rsidRDefault="00B359A4">
      <w:pPr>
        <w:pStyle w:val="TableOfContents"/>
        <w:rPr>
          <w:rFonts w:eastAsia="Calibri"/>
          <w:noProof/>
          <w:color w:val="000000"/>
          <w:sz w:val="32"/>
          <w:lang w:eastAsia="en-GB"/>
        </w:rPr>
      </w:pPr>
      <w:hyperlink w:anchor="_Toc295208092" w:history="1">
        <w:r>
          <w:rPr>
            <w:rStyle w:val="Hyperlink"/>
            <w:noProof/>
            <w:color w:val="000000"/>
            <w:sz w:val="32"/>
            <w:szCs w:val="32"/>
          </w:rPr>
          <w:t>9.</w:t>
        </w:r>
        <w:r>
          <w:rPr>
            <w:rFonts w:eastAsia="Calibri"/>
            <w:noProof/>
            <w:color w:val="000000"/>
            <w:sz w:val="32"/>
            <w:lang w:eastAsia="en-GB"/>
          </w:rPr>
          <w:tab/>
        </w:r>
        <w:r>
          <w:rPr>
            <w:rStyle w:val="Hyperlink"/>
            <w:noProof/>
            <w:color w:val="000000"/>
            <w:sz w:val="32"/>
            <w:szCs w:val="32"/>
          </w:rPr>
          <w:t>Limitations of this report</w:t>
        </w:r>
      </w:hyperlink>
    </w:p>
    <w:p w14:paraId="0872D46D" w14:textId="77777777" w:rsidR="00680D86" w:rsidRDefault="00B359A4">
      <w:pPr>
        <w:pStyle w:val="TableOfContents"/>
        <w:rPr>
          <w:rFonts w:eastAsia="Calibri"/>
          <w:noProof/>
          <w:color w:val="000000"/>
          <w:sz w:val="32"/>
          <w:szCs w:val="22"/>
          <w:lang w:eastAsia="en-GB"/>
        </w:rPr>
      </w:pPr>
      <w:hyperlink w:anchor="_Toc295208093" w:history="1">
        <w:r>
          <w:rPr>
            <w:rStyle w:val="Hyperlink"/>
            <w:noProof/>
            <w:color w:val="000000"/>
            <w:sz w:val="32"/>
            <w:szCs w:val="32"/>
          </w:rPr>
          <w:t>10.</w:t>
        </w:r>
        <w:r>
          <w:rPr>
            <w:rFonts w:eastAsia="Calibri"/>
            <w:noProof/>
            <w:color w:val="000000"/>
            <w:sz w:val="32"/>
            <w:lang w:eastAsia="en-GB"/>
          </w:rPr>
          <w:tab/>
        </w:r>
        <w:r>
          <w:rPr>
            <w:rStyle w:val="Hyperlink"/>
            <w:noProof/>
            <w:color w:val="000000"/>
            <w:sz w:val="32"/>
            <w:szCs w:val="32"/>
          </w:rPr>
          <w:t>Conclusion</w:t>
        </w:r>
      </w:hyperlink>
    </w:p>
    <w:p w14:paraId="384C1A09" w14:textId="77777777" w:rsidR="00680D86" w:rsidRDefault="00B359A4">
      <w:pPr>
        <w:pStyle w:val="TableOfContents"/>
      </w:pPr>
      <w:r>
        <w:fldChar w:fldCharType="end"/>
      </w:r>
      <w:r>
        <w:br w:type="page"/>
      </w:r>
    </w:p>
    <w:p w14:paraId="5A8FAD33" w14:textId="77777777" w:rsidR="00680D86" w:rsidRDefault="00B359A4">
      <w:pPr>
        <w:pStyle w:val="Heading2"/>
      </w:pPr>
      <w:bookmarkStart w:id="1" w:name="_Toc295207640"/>
      <w:bookmarkStart w:id="2" w:name="_Toc295208084"/>
      <w:r>
        <w:lastRenderedPageBreak/>
        <w:t>Why is your attitude to risk so important?</w:t>
      </w:r>
      <w:bookmarkEnd w:id="1"/>
      <w:bookmarkEnd w:id="2"/>
    </w:p>
    <w:p w14:paraId="54F466E0" w14:textId="77777777" w:rsidR="00680D86" w:rsidRDefault="00680D86">
      <w:pPr>
        <w:widowControl w:val="0"/>
        <w:autoSpaceDE w:val="0"/>
        <w:autoSpaceDN w:val="0"/>
        <w:adjustRightInd w:val="0"/>
        <w:rPr>
          <w:rFonts w:cs="Calibri"/>
          <w:bCs/>
          <w:szCs w:val="20"/>
        </w:rPr>
      </w:pPr>
    </w:p>
    <w:p w14:paraId="3F1B880D" w14:textId="77777777" w:rsidR="00680D86" w:rsidRDefault="00B359A4">
      <w:pPr>
        <w:rPr>
          <w:color w:val="000000"/>
          <w:szCs w:val="20"/>
        </w:rPr>
      </w:pPr>
      <w:r>
        <w:rPr>
          <w:color w:val="000000"/>
          <w:szCs w:val="20"/>
        </w:rPr>
        <w:t xml:space="preserve">When you invest your money the most important issue is your attitude towards risk and capacity for loss. Clearly, no one wishes to lose money, but most people are aware that for additional gain there is always increased risk. </w:t>
      </w:r>
    </w:p>
    <w:p w14:paraId="1E3F2B0C" w14:textId="77777777" w:rsidR="00680D86" w:rsidRDefault="00680D86">
      <w:pPr>
        <w:rPr>
          <w:color w:val="000000"/>
          <w:szCs w:val="20"/>
        </w:rPr>
      </w:pPr>
    </w:p>
    <w:p w14:paraId="78633A68" w14:textId="77777777" w:rsidR="00680D86" w:rsidRDefault="00B359A4">
      <w:pPr>
        <w:rPr>
          <w:color w:val="000000"/>
          <w:szCs w:val="20"/>
        </w:rPr>
      </w:pPr>
      <w:r>
        <w:rPr>
          <w:color w:val="000000"/>
          <w:szCs w:val="20"/>
        </w:rPr>
        <w:t xml:space="preserve">The primary measure of risk is the volatility of annual returns for a given asset. For example, a high risk asset such as an Emerging Market Fund may give good annualised returns over a ten year period, but the price of units are likely to change dramatically over the short term in either direction. </w:t>
      </w:r>
    </w:p>
    <w:p w14:paraId="11C499D3" w14:textId="77777777" w:rsidR="00680D86" w:rsidRDefault="00680D86">
      <w:pPr>
        <w:rPr>
          <w:color w:val="000000"/>
          <w:szCs w:val="20"/>
        </w:rPr>
      </w:pPr>
    </w:p>
    <w:p w14:paraId="3E4DF8D0" w14:textId="77777777" w:rsidR="00680D86" w:rsidRDefault="00B359A4">
      <w:pPr>
        <w:rPr>
          <w:color w:val="000000"/>
          <w:szCs w:val="20"/>
        </w:rPr>
      </w:pPr>
      <w:r>
        <w:rPr>
          <w:color w:val="000000"/>
          <w:szCs w:val="20"/>
        </w:rPr>
        <w:t>Conversely, a lower risk asset such as a fixed interest fund would probably give a much lower annualised return but would not fluctuate as much in the short term.</w:t>
      </w:r>
    </w:p>
    <w:p w14:paraId="504F1023" w14:textId="77777777" w:rsidR="00680D86" w:rsidRDefault="00680D86">
      <w:pPr>
        <w:rPr>
          <w:color w:val="000000"/>
          <w:szCs w:val="20"/>
        </w:rPr>
      </w:pPr>
    </w:p>
    <w:p w14:paraId="042B00FC" w14:textId="77777777" w:rsidR="00680D86" w:rsidRDefault="00B359A4">
      <w:r>
        <w:rPr>
          <w:color w:val="000000"/>
          <w:szCs w:val="20"/>
        </w:rPr>
        <w:t xml:space="preserve">Unfortunately, you cannot rely on volatility alone as this can result in investment selections that for example, include complex assets that may not be suitable given the risks you are able and willing to take. </w:t>
      </w:r>
      <w:r>
        <w:t>Therefore, in addition to volatility, here are some other types of risk to consider:</w:t>
      </w:r>
    </w:p>
    <w:p w14:paraId="00D1771A" w14:textId="77777777" w:rsidR="00680D86" w:rsidRDefault="00680D86"/>
    <w:p w14:paraId="7ED2D2B8" w14:textId="77777777" w:rsidR="00680D86" w:rsidRDefault="00B359A4">
      <w:pPr>
        <w:rPr>
          <w:rStyle w:val="Strong"/>
        </w:rPr>
      </w:pPr>
      <w:r>
        <w:rPr>
          <w:rStyle w:val="Strong"/>
        </w:rPr>
        <w:t>Inflation</w:t>
      </w:r>
    </w:p>
    <w:p w14:paraId="78EAD879" w14:textId="77777777" w:rsidR="00680D86" w:rsidRDefault="00680D86"/>
    <w:p w14:paraId="647F9A75" w14:textId="77777777" w:rsidR="00680D86" w:rsidRDefault="00B359A4">
      <w:r>
        <w:t>Inflation risk is the risk that the buying power of your capital decreases over time. A typical example of this is when you invest all your funds into a standard savings account at your bank and the net return does not keep pace with the rise in retail prices. This means that in real terms your money is actually losing value.</w:t>
      </w:r>
    </w:p>
    <w:p w14:paraId="0E556821" w14:textId="77777777" w:rsidR="00680D86" w:rsidRDefault="00680D86"/>
    <w:p w14:paraId="7D88637F" w14:textId="77777777" w:rsidR="00680D86" w:rsidRDefault="00B359A4">
      <w:pPr>
        <w:rPr>
          <w:rStyle w:val="Strong"/>
        </w:rPr>
      </w:pPr>
      <w:r>
        <w:rPr>
          <w:rStyle w:val="Strong"/>
        </w:rPr>
        <w:t>Liquidity</w:t>
      </w:r>
    </w:p>
    <w:p w14:paraId="745DF11A" w14:textId="77777777" w:rsidR="00680D86" w:rsidRDefault="00680D86"/>
    <w:p w14:paraId="52F756EC" w14:textId="77777777" w:rsidR="00680D86" w:rsidRDefault="00B359A4">
      <w:r>
        <w:t>Liquidity risk arises from situations where you are not able to cash in your investments and therefore your funds can become locked in for a period of time or there may be penalties imposed on early surrender. Typical examples of this are shares which are not traded daily, or when demand is low, such as a property fund where the sale of assets is needed in order to realise your investment in cash.</w:t>
      </w:r>
    </w:p>
    <w:p w14:paraId="75CE8BE6" w14:textId="77777777" w:rsidR="00680D86" w:rsidRDefault="00680D86"/>
    <w:p w14:paraId="0FD9F38A" w14:textId="77777777" w:rsidR="00680D86" w:rsidRDefault="00B359A4">
      <w:pPr>
        <w:rPr>
          <w:rStyle w:val="Strong"/>
        </w:rPr>
      </w:pPr>
      <w:r>
        <w:rPr>
          <w:rStyle w:val="Strong"/>
        </w:rPr>
        <w:t>Diversification</w:t>
      </w:r>
    </w:p>
    <w:p w14:paraId="3760A7B6" w14:textId="77777777" w:rsidR="00680D86" w:rsidRDefault="00680D86">
      <w:pPr>
        <w:rPr>
          <w:rStyle w:val="Strong"/>
          <w:b w:val="0"/>
        </w:rPr>
      </w:pPr>
    </w:p>
    <w:p w14:paraId="120EBBE6" w14:textId="77777777" w:rsidR="00680D86" w:rsidRDefault="00B359A4">
      <w:r>
        <w:t xml:space="preserve">In order to reduce risk you should invest in a variety of </w:t>
      </w:r>
      <w:r>
        <w:rPr>
          <w:szCs w:val="20"/>
        </w:rPr>
        <w:t>assets</w:t>
      </w:r>
      <w:r>
        <w:t xml:space="preserve">. Diversification is the "free lunch" of finance. It means that you can reduce </w:t>
      </w:r>
      <w:r>
        <w:rPr>
          <w:szCs w:val="20"/>
        </w:rPr>
        <w:t>market risk</w:t>
      </w:r>
      <w:r>
        <w:t xml:space="preserve"> simply by investing in many unrelated instruments such as Shares, Fixed Interest, Property and Cash. The concept is often explained with the age-old saying "don't put all your eggs in one basket."</w:t>
      </w:r>
    </w:p>
    <w:p w14:paraId="5A4B24AB" w14:textId="77777777" w:rsidR="00680D86" w:rsidRDefault="00680D86"/>
    <w:p w14:paraId="0FCAA438" w14:textId="77777777" w:rsidR="00680D86" w:rsidRDefault="00B359A4">
      <w:pPr>
        <w:rPr>
          <w:rStyle w:val="Strong"/>
        </w:rPr>
      </w:pPr>
      <w:r>
        <w:rPr>
          <w:rStyle w:val="Strong"/>
        </w:rPr>
        <w:t>Specific risks</w:t>
      </w:r>
    </w:p>
    <w:p w14:paraId="6C0AA1A0" w14:textId="77777777" w:rsidR="00680D86" w:rsidRDefault="00680D86"/>
    <w:p w14:paraId="6EE77A8C" w14:textId="77777777" w:rsidR="00680D86" w:rsidRDefault="00B359A4">
      <w:r>
        <w:t xml:space="preserve">This type of risk is the most difficult to quantify and should probably be avoided if not understood. An example of this is a complex fund not regulated by the Financial Conduct Authority or a structured product which is underpinned by a counterparty. </w:t>
      </w:r>
    </w:p>
    <w:p w14:paraId="41553DC7" w14:textId="77777777" w:rsidR="00680D86" w:rsidRDefault="00680D86"/>
    <w:p w14:paraId="7E2FCAF0" w14:textId="77777777" w:rsidR="00680D86" w:rsidRDefault="00B359A4">
      <w:pPr>
        <w:rPr>
          <w:rFonts w:cs="Calibri"/>
          <w:color w:val="000000"/>
          <w:szCs w:val="20"/>
        </w:rPr>
      </w:pPr>
      <w:r>
        <w:rPr>
          <w:rFonts w:cs="Calibri"/>
          <w:color w:val="000000"/>
          <w:szCs w:val="20"/>
        </w:rPr>
        <w:br w:type="page"/>
      </w:r>
    </w:p>
    <w:p w14:paraId="0A895C9E" w14:textId="77777777" w:rsidR="00680D86" w:rsidRDefault="00B359A4">
      <w:pPr>
        <w:pStyle w:val="Heading2"/>
      </w:pPr>
      <w:bookmarkStart w:id="3" w:name="_Toc295207641"/>
      <w:bookmarkStart w:id="4" w:name="_Toc295208085"/>
      <w:r>
        <w:lastRenderedPageBreak/>
        <w:t>Our risk assessment process</w:t>
      </w:r>
      <w:bookmarkEnd w:id="3"/>
      <w:bookmarkEnd w:id="4"/>
    </w:p>
    <w:p w14:paraId="52B2BD97" w14:textId="77777777" w:rsidR="00680D86" w:rsidRDefault="00680D86">
      <w:pPr>
        <w:widowControl w:val="0"/>
        <w:autoSpaceDE w:val="0"/>
        <w:autoSpaceDN w:val="0"/>
        <w:adjustRightInd w:val="0"/>
        <w:rPr>
          <w:rFonts w:cs="Calibri"/>
          <w:color w:val="000000"/>
          <w:szCs w:val="20"/>
        </w:rPr>
      </w:pPr>
    </w:p>
    <w:p w14:paraId="2E20196E" w14:textId="77777777" w:rsidR="00680D86" w:rsidRDefault="00B359A4">
      <w:pPr>
        <w:widowControl w:val="0"/>
        <w:rPr>
          <w:color w:val="000000"/>
          <w:szCs w:val="20"/>
        </w:rPr>
      </w:pPr>
      <w:r>
        <w:rPr>
          <w:color w:val="000000"/>
          <w:szCs w:val="20"/>
        </w:rPr>
        <w:t>In order to assess and manage investment risk there is a four step process which is highlighted in the diagram below. The purpose of this report is to help you and your professional adviser understand the risk associated with investing and correctly apportion risk to each individual investment or goal.</w:t>
      </w:r>
    </w:p>
    <w:p w14:paraId="207C670E" w14:textId="77777777" w:rsidR="00680D86" w:rsidRDefault="00680D86">
      <w:pPr>
        <w:widowControl w:val="0"/>
        <w:autoSpaceDE w:val="0"/>
        <w:autoSpaceDN w:val="0"/>
        <w:adjustRightInd w:val="0"/>
        <w:rPr>
          <w:rFonts w:cs="Calibri"/>
          <w:color w:val="000000"/>
          <w:szCs w:val="20"/>
        </w:rPr>
      </w:pPr>
    </w:p>
    <w:p w14:paraId="5F8A529C" w14:textId="77777777" w:rsidR="00680D86" w:rsidRDefault="00680D86">
      <w:pPr>
        <w:rPr>
          <w:rFonts w:cs="Calibri"/>
          <w:color w:val="000000"/>
          <w:szCs w:val="20"/>
        </w:rPr>
      </w:pPr>
    </w:p>
    <w:p w14:paraId="5890124C" w14:textId="77777777" w:rsidR="00680D86" w:rsidRDefault="00B359A4">
      <w:pPr>
        <w:rPr>
          <w:rFonts w:cs="Calibri"/>
          <w:color w:val="000000"/>
          <w:szCs w:val="20"/>
        </w:rPr>
      </w:pPr>
      <w:r>
        <w:rPr>
          <w:rFonts w:cs="Calibri"/>
          <w:noProof/>
          <w:color w:val="000000"/>
          <w:szCs w:val="20"/>
          <w:lang w:eastAsia="en-GB"/>
        </w:rPr>
        <w:drawing>
          <wp:inline distT="0" distB="0" distL="0" distR="0" wp14:anchorId="6FA9E880" wp14:editId="644959FA">
            <wp:extent cx="5486400" cy="3199257"/>
            <wp:effectExtent l="0" t="0" r="0" b="20320"/>
            <wp:docPr id="2"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A1ACF78" w14:textId="77777777" w:rsidR="00680D86" w:rsidRDefault="00680D86">
      <w:pPr>
        <w:rPr>
          <w:rFonts w:cs="Calibri"/>
          <w:color w:val="000000"/>
          <w:szCs w:val="20"/>
        </w:rPr>
      </w:pPr>
    </w:p>
    <w:p w14:paraId="6195EA9C" w14:textId="77777777" w:rsidR="00680D86" w:rsidRDefault="00B359A4">
      <w:pPr>
        <w:pStyle w:val="Heading4"/>
        <w:rPr>
          <w:rStyle w:val="Strong"/>
          <w:b/>
        </w:rPr>
      </w:pPr>
      <w:r>
        <w:rPr>
          <w:rStyle w:val="Strong"/>
          <w:b/>
        </w:rPr>
        <w:t>Step 1</w:t>
      </w:r>
    </w:p>
    <w:p w14:paraId="4F564F78" w14:textId="77777777" w:rsidR="00680D86" w:rsidRDefault="00680D86">
      <w:pPr>
        <w:pStyle w:val="ListParagraph"/>
        <w:ind w:left="0"/>
        <w:rPr>
          <w:rFonts w:cs="Calibri"/>
          <w:b/>
          <w:color w:val="000000"/>
          <w:szCs w:val="20"/>
        </w:rPr>
      </w:pPr>
    </w:p>
    <w:p w14:paraId="3D337E8B" w14:textId="77777777" w:rsidR="00680D86" w:rsidRDefault="00B359A4">
      <w:pPr>
        <w:pStyle w:val="ListParagraph"/>
        <w:ind w:left="0"/>
        <w:rPr>
          <w:color w:val="000000"/>
          <w:szCs w:val="20"/>
        </w:rPr>
      </w:pPr>
      <w:r>
        <w:rPr>
          <w:color w:val="000000"/>
          <w:szCs w:val="20"/>
        </w:rPr>
        <w:t>This report has been prepared based on your answers to the risk questionnaire, which is the first stage in determining your overall appetite for risk and capacity for loss in respect of your investments.</w:t>
      </w:r>
    </w:p>
    <w:p w14:paraId="7B8A6D10" w14:textId="77777777" w:rsidR="00680D86" w:rsidRDefault="00680D86">
      <w:pPr>
        <w:pStyle w:val="ListParagraph"/>
        <w:ind w:left="0"/>
        <w:rPr>
          <w:rFonts w:cs="Calibri"/>
          <w:color w:val="000000"/>
          <w:szCs w:val="20"/>
        </w:rPr>
      </w:pPr>
    </w:p>
    <w:p w14:paraId="08870576" w14:textId="77777777" w:rsidR="00680D86" w:rsidRDefault="00B359A4">
      <w:pPr>
        <w:pStyle w:val="Heading4"/>
        <w:rPr>
          <w:rStyle w:val="Strong"/>
          <w:b/>
        </w:rPr>
      </w:pPr>
      <w:r>
        <w:rPr>
          <w:rStyle w:val="Strong"/>
          <w:b/>
        </w:rPr>
        <w:t>Step 2</w:t>
      </w:r>
    </w:p>
    <w:p w14:paraId="3EE94314" w14:textId="77777777" w:rsidR="00680D86" w:rsidRDefault="00680D86">
      <w:pPr>
        <w:pStyle w:val="ListParagraph"/>
        <w:ind w:left="0"/>
        <w:rPr>
          <w:rFonts w:cs="Calibri"/>
          <w:color w:val="000000"/>
          <w:szCs w:val="20"/>
        </w:rPr>
      </w:pPr>
    </w:p>
    <w:p w14:paraId="15BF2D7C" w14:textId="77777777" w:rsidR="00680D86" w:rsidRDefault="00B359A4">
      <w:pPr>
        <w:pStyle w:val="ListParagraph"/>
        <w:ind w:left="0"/>
        <w:rPr>
          <w:color w:val="000000"/>
          <w:szCs w:val="20"/>
        </w:rPr>
      </w:pPr>
      <w:r>
        <w:rPr>
          <w:color w:val="000000"/>
          <w:szCs w:val="20"/>
        </w:rPr>
        <w:t>All risk profiling tools have limitations. This step is important because it allows your adviser to challenge your views, validate your results and resolve potential conflicts in answers to different questions. The two most important outcomes are establishing your true attitude to risk and actual capacity for loss.</w:t>
      </w:r>
    </w:p>
    <w:p w14:paraId="6240B201" w14:textId="77777777" w:rsidR="00680D86" w:rsidRDefault="00680D86">
      <w:pPr>
        <w:pStyle w:val="ListParagraph"/>
        <w:ind w:left="0"/>
        <w:rPr>
          <w:rFonts w:cs="Calibri"/>
          <w:color w:val="000000"/>
          <w:szCs w:val="20"/>
        </w:rPr>
      </w:pPr>
    </w:p>
    <w:p w14:paraId="66F9C6E6" w14:textId="77777777" w:rsidR="00680D86" w:rsidRDefault="00B359A4">
      <w:pPr>
        <w:pStyle w:val="Heading4"/>
        <w:rPr>
          <w:rStyle w:val="Strong"/>
          <w:b/>
        </w:rPr>
      </w:pPr>
      <w:r>
        <w:rPr>
          <w:rStyle w:val="Strong"/>
          <w:b/>
        </w:rPr>
        <w:t xml:space="preserve">Step 3 </w:t>
      </w:r>
    </w:p>
    <w:p w14:paraId="17504D09" w14:textId="77777777" w:rsidR="00680D86" w:rsidRDefault="00680D86">
      <w:pPr>
        <w:pStyle w:val="ListParagraph"/>
        <w:ind w:left="0"/>
        <w:rPr>
          <w:rFonts w:cs="Calibri"/>
          <w:color w:val="000000"/>
          <w:szCs w:val="20"/>
        </w:rPr>
      </w:pPr>
    </w:p>
    <w:p w14:paraId="7EA7FFD3" w14:textId="77777777" w:rsidR="00680D86" w:rsidRDefault="00B359A4">
      <w:pPr>
        <w:pStyle w:val="ListParagraph"/>
        <w:ind w:left="0"/>
        <w:rPr>
          <w:color w:val="000000"/>
          <w:szCs w:val="20"/>
        </w:rPr>
      </w:pPr>
      <w:r>
        <w:rPr>
          <w:color w:val="000000"/>
          <w:szCs w:val="20"/>
        </w:rPr>
        <w:t xml:space="preserve">There is much skill needed in order to distribute risk over your investments in order to give the most efficient result and your whole situation needs to be assessed in order to do this correctly. </w:t>
      </w:r>
    </w:p>
    <w:p w14:paraId="0E0E2C47" w14:textId="77777777" w:rsidR="00680D86" w:rsidRDefault="00680D86">
      <w:pPr>
        <w:pStyle w:val="ListParagraph"/>
        <w:ind w:left="0"/>
        <w:rPr>
          <w:color w:val="000000"/>
          <w:szCs w:val="20"/>
        </w:rPr>
      </w:pPr>
    </w:p>
    <w:p w14:paraId="50C5658D" w14:textId="77777777" w:rsidR="00680D86" w:rsidRDefault="00B359A4">
      <w:pPr>
        <w:pStyle w:val="ListParagraph"/>
        <w:ind w:left="0"/>
        <w:rPr>
          <w:color w:val="000000"/>
          <w:szCs w:val="20"/>
        </w:rPr>
      </w:pPr>
      <w:r>
        <w:rPr>
          <w:color w:val="000000"/>
          <w:szCs w:val="20"/>
        </w:rPr>
        <w:t>For example, if you are a ‘medium risk’ investor you could invest in National Savings Index Linked Certificates as a guaranteed hedge against inflation without the need to pay tax but this investment would be 1 on a scale of 1-10 of risk.</w:t>
      </w:r>
    </w:p>
    <w:p w14:paraId="3FD5B02F" w14:textId="77777777" w:rsidR="00680D86" w:rsidRDefault="00680D86">
      <w:pPr>
        <w:pStyle w:val="ListParagraph"/>
        <w:ind w:left="0"/>
        <w:rPr>
          <w:color w:val="000000"/>
          <w:szCs w:val="20"/>
        </w:rPr>
      </w:pPr>
    </w:p>
    <w:p w14:paraId="03D4CC60" w14:textId="77777777" w:rsidR="00680D86" w:rsidRDefault="00B359A4">
      <w:pPr>
        <w:pStyle w:val="ListParagraph"/>
        <w:ind w:left="0"/>
        <w:rPr>
          <w:color w:val="000000"/>
          <w:szCs w:val="20"/>
        </w:rPr>
      </w:pPr>
      <w:r>
        <w:rPr>
          <w:color w:val="000000"/>
          <w:szCs w:val="20"/>
        </w:rPr>
        <w:t>You could also invest in international equities, which may be as high as 8-9 on a scale of 1-10. This investment is clearly higher than the stated attitude to risk of medium. However, this investment style may prove useful in order to harvest your annual Capital Gains Tax Allowance and minimise tax on dividends.</w:t>
      </w:r>
    </w:p>
    <w:p w14:paraId="15B1356D" w14:textId="77777777" w:rsidR="00680D86" w:rsidRDefault="00680D86">
      <w:pPr>
        <w:pStyle w:val="ListParagraph"/>
        <w:ind w:left="0"/>
        <w:rPr>
          <w:color w:val="000000"/>
          <w:szCs w:val="20"/>
        </w:rPr>
      </w:pPr>
    </w:p>
    <w:p w14:paraId="4A5B5311" w14:textId="77777777" w:rsidR="00680D86" w:rsidRDefault="00B359A4">
      <w:pPr>
        <w:pStyle w:val="ListParagraph"/>
        <w:ind w:left="0"/>
        <w:rPr>
          <w:color w:val="000000"/>
          <w:szCs w:val="20"/>
        </w:rPr>
      </w:pPr>
      <w:r>
        <w:rPr>
          <w:color w:val="000000"/>
          <w:szCs w:val="20"/>
        </w:rPr>
        <w:t>In conclusion, this simple example illustrates the efficiency in ‘blending’ risk because, not only have you maintained a ‘medium’ risk profile overall, you have also used the most efficient solution for your own circumstances and tax status.</w:t>
      </w:r>
    </w:p>
    <w:p w14:paraId="2C8E7D0E" w14:textId="77777777" w:rsidR="00680D86" w:rsidRDefault="00680D86">
      <w:pPr>
        <w:pStyle w:val="ListParagraph"/>
        <w:ind w:left="0"/>
        <w:rPr>
          <w:color w:val="000000"/>
          <w:szCs w:val="20"/>
        </w:rPr>
      </w:pPr>
    </w:p>
    <w:p w14:paraId="71605FAB" w14:textId="77777777" w:rsidR="00680D86" w:rsidRDefault="00B359A4">
      <w:pPr>
        <w:pStyle w:val="ListParagraph"/>
        <w:ind w:left="0"/>
        <w:rPr>
          <w:color w:val="000000"/>
          <w:szCs w:val="20"/>
        </w:rPr>
      </w:pPr>
      <w:r>
        <w:rPr>
          <w:color w:val="000000"/>
          <w:szCs w:val="20"/>
        </w:rPr>
        <w:lastRenderedPageBreak/>
        <w:t>A further consideration is other areas such as debts. There is little point in implementing an investment portfolio if you have debts where the interest paid out is likely to be more than the net returns received from your investments.</w:t>
      </w:r>
    </w:p>
    <w:p w14:paraId="19431E4E" w14:textId="77777777" w:rsidR="00680D86" w:rsidRDefault="00680D86">
      <w:pPr>
        <w:pStyle w:val="ListParagraph"/>
        <w:ind w:left="0"/>
        <w:rPr>
          <w:rFonts w:cs="Calibri"/>
          <w:color w:val="000000"/>
          <w:szCs w:val="20"/>
        </w:rPr>
      </w:pPr>
    </w:p>
    <w:p w14:paraId="3EEE617D" w14:textId="77777777" w:rsidR="00680D86" w:rsidRDefault="00B359A4">
      <w:pPr>
        <w:rPr>
          <w:rStyle w:val="Strong"/>
        </w:rPr>
      </w:pPr>
      <w:r>
        <w:rPr>
          <w:rStyle w:val="Strong"/>
        </w:rPr>
        <w:t>Step 4</w:t>
      </w:r>
    </w:p>
    <w:p w14:paraId="5A1ED95E" w14:textId="77777777" w:rsidR="00680D86" w:rsidRDefault="00680D86">
      <w:pPr>
        <w:rPr>
          <w:rFonts w:cs="Calibri"/>
          <w:color w:val="000000"/>
          <w:szCs w:val="20"/>
        </w:rPr>
      </w:pPr>
    </w:p>
    <w:p w14:paraId="6C85C6A2" w14:textId="77777777" w:rsidR="00680D86" w:rsidRDefault="00B359A4">
      <w:pPr>
        <w:rPr>
          <w:color w:val="000000"/>
          <w:szCs w:val="20"/>
        </w:rPr>
      </w:pPr>
      <w:r>
        <w:rPr>
          <w:color w:val="000000"/>
          <w:szCs w:val="20"/>
        </w:rPr>
        <w:t>Asset classes do not move in synchrony and markets can be erratic. In order to maintain your overall risk, investments will need to be reviewed and rebalanced regularly. If this is not done, a portfolio is likely to drift over time, which is likely to increase risk.</w:t>
      </w:r>
    </w:p>
    <w:p w14:paraId="63222CBC" w14:textId="77777777" w:rsidR="00680D86" w:rsidRDefault="00680D86">
      <w:pPr>
        <w:rPr>
          <w:color w:val="000000"/>
          <w:szCs w:val="20"/>
        </w:rPr>
      </w:pPr>
    </w:p>
    <w:p w14:paraId="311B1A1D" w14:textId="77777777" w:rsidR="00680D86" w:rsidRDefault="00B359A4">
      <w:pPr>
        <w:rPr>
          <w:color w:val="000000"/>
          <w:szCs w:val="20"/>
        </w:rPr>
      </w:pPr>
      <w:r>
        <w:rPr>
          <w:color w:val="000000"/>
          <w:szCs w:val="20"/>
        </w:rPr>
        <w:t>Most importantly, you should inform your adviser if your circumstances change as this will undoubtedly have a bearing on your appetite for risk and capacity to withstand loss.</w:t>
      </w:r>
    </w:p>
    <w:p w14:paraId="77C5A100" w14:textId="77777777" w:rsidR="00680D86" w:rsidRDefault="00680D86">
      <w:pPr>
        <w:rPr>
          <w:rFonts w:cs="Calibri"/>
          <w:color w:val="000000"/>
          <w:szCs w:val="20"/>
        </w:rPr>
      </w:pPr>
    </w:p>
    <w:p w14:paraId="73BE6E5D" w14:textId="77777777" w:rsidR="00680D86" w:rsidRDefault="00B359A4">
      <w:pPr>
        <w:rPr>
          <w:rFonts w:cs="Calibri"/>
          <w:color w:val="000000"/>
          <w:szCs w:val="20"/>
        </w:rPr>
      </w:pPr>
      <w:r>
        <w:rPr>
          <w:rFonts w:cs="Calibri"/>
          <w:color w:val="000000"/>
          <w:szCs w:val="20"/>
        </w:rPr>
        <w:br w:type="page"/>
      </w:r>
    </w:p>
    <w:p w14:paraId="6B9CDF3E" w14:textId="77777777" w:rsidR="00680D86" w:rsidRDefault="00B359A4">
      <w:pPr>
        <w:pStyle w:val="Heading2"/>
      </w:pPr>
      <w:bookmarkStart w:id="5" w:name="_Toc295207642"/>
      <w:bookmarkStart w:id="6" w:name="_Toc295208086"/>
      <w:r>
        <w:lastRenderedPageBreak/>
        <w:t>Your risk questionnaire answers</w:t>
      </w:r>
      <w:bookmarkEnd w:id="5"/>
      <w:bookmarkEnd w:id="6"/>
    </w:p>
    <w:p w14:paraId="7C2D384B" w14:textId="77777777" w:rsidR="00680D86" w:rsidRDefault="00680D86"/>
    <w:p w14:paraId="6DD58F4D" w14:textId="77777777" w:rsidR="00680D86" w:rsidRDefault="00B359A4">
      <w:r>
        <w:t xml:space="preserve">You completed a risk questionnaire on </w:t>
      </w:r>
      <w:r>
        <w:rPr>
          <w:b/>
        </w:rPr>
        <w:t>19-Feb-2024</w:t>
      </w:r>
      <w:r>
        <w:t xml:space="preserve"> which was used as the basis of this report. Your answers are recorded below:- </w:t>
      </w:r>
    </w:p>
    <w:p w14:paraId="34E77921" w14:textId="77777777" w:rsidR="00680D86" w:rsidRDefault="00680D86"/>
    <w:p w14:paraId="2F1EC014" w14:textId="77777777" w:rsidR="00680D86" w:rsidRDefault="00680D86">
      <w:bookmarkStart w:id="7" w:name="RiskQuestionnaireTable"/>
    </w:p>
    <w:tbl>
      <w:tblPr>
        <w:tblW w:w="8938" w:type="dxa"/>
        <w:tblInd w:w="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4A0" w:firstRow="1" w:lastRow="0" w:firstColumn="1" w:lastColumn="0" w:noHBand="0" w:noVBand="1"/>
      </w:tblPr>
      <w:tblGrid>
        <w:gridCol w:w="480"/>
        <w:gridCol w:w="5764"/>
        <w:gridCol w:w="2694"/>
      </w:tblGrid>
      <w:tr w:rsidR="00680D86" w14:paraId="3CC2546C" w14:textId="77777777">
        <w:trPr>
          <w:cantSplit/>
        </w:trPr>
        <w:tc>
          <w:tcPr>
            <w:tcW w:w="8938" w:type="dxa"/>
            <w:gridSpan w:val="3"/>
            <w:tcBorders>
              <w:top w:val="single" w:sz="2" w:space="0" w:color="auto"/>
              <w:left w:val="single" w:sz="2" w:space="0" w:color="auto"/>
              <w:bottom w:val="single" w:sz="2" w:space="0" w:color="auto"/>
              <w:right w:val="single" w:sz="2" w:space="0" w:color="auto"/>
            </w:tcBorders>
            <w:shd w:val="clear" w:color="auto" w:fill="A6A6A6"/>
          </w:tcPr>
          <w:p w14:paraId="49BB97FB" w14:textId="77777777" w:rsidR="00680D86" w:rsidRDefault="00B359A4">
            <w:pPr>
              <w:widowControl w:val="0"/>
              <w:autoSpaceDE w:val="0"/>
              <w:autoSpaceDN w:val="0"/>
              <w:adjustRightInd w:val="0"/>
              <w:rPr>
                <w:rFonts w:cs="Calibri"/>
                <w:b/>
                <w:bCs/>
                <w:color w:val="000000"/>
                <w:szCs w:val="20"/>
                <w:lang w:eastAsia="en-GB"/>
              </w:rPr>
            </w:pPr>
            <w:r>
              <w:rPr>
                <w:rFonts w:cs="Calibri"/>
                <w:b/>
                <w:bCs/>
                <w:color w:val="000000"/>
                <w:szCs w:val="20"/>
                <w:lang w:eastAsia="en-GB"/>
              </w:rPr>
              <w:t>Risk questionnaire</w:t>
            </w:r>
          </w:p>
        </w:tc>
      </w:tr>
      <w:tr w:rsidR="00680D86" w14:paraId="11D49B68"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D9D9D9"/>
          </w:tcPr>
          <w:p w14:paraId="062D7DB8" w14:textId="77777777" w:rsidR="00680D86" w:rsidRDefault="00B359A4">
            <w:pPr>
              <w:widowControl w:val="0"/>
              <w:autoSpaceDE w:val="0"/>
              <w:autoSpaceDN w:val="0"/>
              <w:adjustRightInd w:val="0"/>
              <w:rPr>
                <w:rFonts w:cs="Calibri"/>
                <w:b/>
                <w:bCs/>
                <w:color w:val="000000"/>
                <w:szCs w:val="20"/>
                <w:lang w:eastAsia="en-GB"/>
              </w:rPr>
            </w:pPr>
            <w:r>
              <w:rPr>
                <w:rFonts w:cs="Calibri"/>
                <w:b/>
                <w:bCs/>
                <w:color w:val="000000"/>
                <w:szCs w:val="20"/>
                <w:lang w:eastAsia="en-GB"/>
              </w:rPr>
              <w:t>No.</w:t>
            </w:r>
          </w:p>
        </w:tc>
        <w:tc>
          <w:tcPr>
            <w:tcW w:w="5764" w:type="dxa"/>
            <w:tcBorders>
              <w:top w:val="single" w:sz="2" w:space="0" w:color="auto"/>
              <w:left w:val="single" w:sz="2" w:space="0" w:color="auto"/>
              <w:bottom w:val="single" w:sz="2" w:space="0" w:color="auto"/>
              <w:right w:val="single" w:sz="2" w:space="0" w:color="auto"/>
            </w:tcBorders>
            <w:shd w:val="clear" w:color="auto" w:fill="D9D9D9"/>
          </w:tcPr>
          <w:p w14:paraId="1A3C9E17" w14:textId="77777777" w:rsidR="00680D86" w:rsidRDefault="00B359A4">
            <w:pPr>
              <w:widowControl w:val="0"/>
              <w:autoSpaceDE w:val="0"/>
              <w:autoSpaceDN w:val="0"/>
              <w:adjustRightInd w:val="0"/>
              <w:rPr>
                <w:rFonts w:cs="Calibri"/>
                <w:b/>
                <w:bCs/>
                <w:color w:val="000000"/>
                <w:szCs w:val="20"/>
                <w:lang w:eastAsia="en-GB"/>
              </w:rPr>
            </w:pPr>
            <w:r>
              <w:rPr>
                <w:rFonts w:cs="Calibri"/>
                <w:b/>
                <w:bCs/>
                <w:color w:val="000000"/>
                <w:szCs w:val="20"/>
                <w:lang w:eastAsia="en-GB"/>
              </w:rPr>
              <w:t>Question</w:t>
            </w:r>
          </w:p>
        </w:tc>
        <w:tc>
          <w:tcPr>
            <w:tcW w:w="2694" w:type="dxa"/>
            <w:tcBorders>
              <w:top w:val="single" w:sz="2" w:space="0" w:color="auto"/>
              <w:left w:val="single" w:sz="2" w:space="0" w:color="auto"/>
              <w:bottom w:val="single" w:sz="2" w:space="0" w:color="auto"/>
              <w:right w:val="single" w:sz="2" w:space="0" w:color="auto"/>
            </w:tcBorders>
            <w:shd w:val="clear" w:color="auto" w:fill="D9D9D9"/>
          </w:tcPr>
          <w:p w14:paraId="22898C35" w14:textId="77777777" w:rsidR="00680D86" w:rsidRDefault="00B359A4">
            <w:pPr>
              <w:widowControl w:val="0"/>
              <w:autoSpaceDE w:val="0"/>
              <w:autoSpaceDN w:val="0"/>
              <w:adjustRightInd w:val="0"/>
              <w:rPr>
                <w:rFonts w:cs="Calibri"/>
                <w:b/>
                <w:bCs/>
                <w:color w:val="000000"/>
                <w:szCs w:val="20"/>
                <w:lang w:eastAsia="en-GB"/>
              </w:rPr>
            </w:pPr>
            <w:r>
              <w:rPr>
                <w:rFonts w:cs="Calibri"/>
                <w:b/>
                <w:bCs/>
                <w:color w:val="000000"/>
                <w:szCs w:val="20"/>
                <w:lang w:eastAsia="en-GB"/>
              </w:rPr>
              <w:t>Answer</w:t>
            </w:r>
          </w:p>
        </w:tc>
      </w:tr>
      <w:tr w:rsidR="00680D86" w14:paraId="632823BA"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245AA991"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4527EFC6"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probably invest a very significant amount in a high-risk investment.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28265F70"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80D86" w14:paraId="3880120F"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15EF80D2"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2</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202DC17F"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be happy putting my money into the stock market.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1664EA60"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80D86" w14:paraId="462DBB2E"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2441913C"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3</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026D5EBA"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worry a great deal if I thought I would lose money in an investment.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38D7B454"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Disagree</w:t>
            </w:r>
          </w:p>
        </w:tc>
      </w:tr>
      <w:tr w:rsidR="00680D86" w14:paraId="5E78CC42"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6372BB2F"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4</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4383F45B"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consider investing in a risky investment for the excitement of seeing whether it goes up or down in value.</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384231AF"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80D86" w14:paraId="1E8BDCFB"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5B40D6F8"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5</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6183BD83"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worry about losing money on the stock market.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160A2721"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Disagree</w:t>
            </w:r>
          </w:p>
        </w:tc>
      </w:tr>
      <w:tr w:rsidR="00680D86" w14:paraId="16A5DF7A"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76A9414D"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6</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563B290C"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Risks are necessary to make money.</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36A297CA"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80D86" w14:paraId="62D62F80"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747AFC8C"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7</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2D376DAA"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The level of risk doesn't matter; it is more important to have the opportunity of achieving higher returns with my money.</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4276CE53"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80D86" w14:paraId="22D1C473"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4DE92A2D"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8</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0503D0AD"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be anxious if I saw my investments had gone down in value.</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7E692588"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80D86" w14:paraId="5CB7A3B9"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646A34EF"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9</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597DA7C3"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be happy to accept large short term falls in the value of my investments to maximise my potential longer-term returns.</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4499D61B"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80D86" w14:paraId="13798AAB"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0C10C8DA"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10</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7AF60219"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worry about the instability of the stock market.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4ABB6E0B"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80D86" w14:paraId="4D507CFD"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38C98076"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11</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25520D81"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believe that I generally take bigger investment risks with my money than other people.</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57DCD126"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Neither Agree nor Disagree</w:t>
            </w:r>
          </w:p>
        </w:tc>
      </w:tr>
      <w:tr w:rsidR="00680D86" w14:paraId="7F21FBCE"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23D7DC1D"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12</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2B241516"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be happy to risk losses to get potentially greater long-term gains.</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2249AA96"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80D86" w14:paraId="64DAEC77"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55C5FA55"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13</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27216952"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would get a thrill from making risky investments with my money.</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47D22B7B"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80D86" w14:paraId="0369C39B"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3DAE88D1"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14</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6BC38FDE"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If there's a chance of making better long-term returns, I'm prepared to take an investment risk.</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48731E9A"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80D86" w14:paraId="1BDA5D18"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0B81B3A1"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15</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09D4E250"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worry about the volatility of the stock market.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46FABABA"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80D86" w14:paraId="47C9A981"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23322E4C"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16</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5726E583"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 expect high investment growth and I am willing to accept the consequent possibility of large losses.</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0A3FAC82"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80D86" w14:paraId="0619A1C0"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1E788F22"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17</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1217D9F4"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The idea that the value of my investments can be variable makes me feel anxious.</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38112DDF"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Disagree</w:t>
            </w:r>
          </w:p>
        </w:tc>
      </w:tr>
      <w:tr w:rsidR="00680D86" w14:paraId="5AACA2DC"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205EFF25" w14:textId="77777777" w:rsidR="00680D86" w:rsidRDefault="00B359A4">
            <w:pPr>
              <w:widowControl w:val="0"/>
              <w:autoSpaceDE w:val="0"/>
              <w:autoSpaceDN w:val="0"/>
              <w:adjustRightInd w:val="0"/>
              <w:jc w:val="center"/>
              <w:rPr>
                <w:rFonts w:cs="Calibri"/>
                <w:color w:val="000000"/>
                <w:szCs w:val="20"/>
                <w:lang w:eastAsia="en-GB"/>
              </w:rPr>
            </w:pPr>
            <w:r>
              <w:rPr>
                <w:rFonts w:cs="Calibri"/>
                <w:color w:val="000000"/>
                <w:szCs w:val="20"/>
                <w:lang w:eastAsia="en-GB"/>
              </w:rPr>
              <w:t>18</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776EF159"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In my view, you need to take risks to make money.</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762DEB66" w14:textId="77777777" w:rsidR="00680D86" w:rsidRDefault="00B359A4">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bl>
    <w:p w14:paraId="2BF0C709" w14:textId="77777777" w:rsidR="00680D86" w:rsidRDefault="00680D86"/>
    <w:bookmarkEnd w:id="7"/>
    <w:p w14:paraId="4F107A70" w14:textId="77777777" w:rsidR="00680D86" w:rsidRDefault="00B359A4">
      <w:pPr>
        <w:jc w:val="left"/>
        <w:rPr>
          <w:rFonts w:cs="Calibri"/>
          <w:b/>
          <w:bCs/>
          <w:color w:val="5F497A"/>
          <w:sz w:val="28"/>
          <w:szCs w:val="28"/>
        </w:rPr>
      </w:pPr>
      <w:r>
        <w:rPr>
          <w:rFonts w:cs="Calibri"/>
          <w:b/>
          <w:bCs/>
          <w:color w:val="5F497A"/>
          <w:sz w:val="28"/>
          <w:szCs w:val="28"/>
        </w:rPr>
        <w:br w:type="page"/>
      </w:r>
    </w:p>
    <w:p w14:paraId="4635F02E" w14:textId="77777777" w:rsidR="00680D86" w:rsidRDefault="00B359A4">
      <w:pPr>
        <w:pStyle w:val="Heading2"/>
      </w:pPr>
      <w:bookmarkStart w:id="8" w:name="_Toc295207643"/>
      <w:bookmarkStart w:id="9" w:name="_Toc295208087"/>
      <w:r>
        <w:lastRenderedPageBreak/>
        <w:t>Your risk questionnaire results</w:t>
      </w:r>
      <w:bookmarkEnd w:id="8"/>
      <w:bookmarkEnd w:id="9"/>
    </w:p>
    <w:p w14:paraId="1E4BF838" w14:textId="77777777" w:rsidR="00680D86" w:rsidRDefault="00680D86">
      <w:pPr>
        <w:pStyle w:val="ListParagraph"/>
        <w:widowControl w:val="0"/>
        <w:autoSpaceDE w:val="0"/>
        <w:autoSpaceDN w:val="0"/>
        <w:adjustRightInd w:val="0"/>
        <w:ind w:left="360"/>
        <w:rPr>
          <w:rFonts w:cs="Calibri"/>
          <w:b/>
          <w:bCs/>
          <w:color w:val="5F497A"/>
          <w:sz w:val="28"/>
          <w:szCs w:val="28"/>
        </w:rPr>
      </w:pPr>
    </w:p>
    <w:p w14:paraId="637E3836" w14:textId="77777777" w:rsidR="00680D86" w:rsidRDefault="00680D86">
      <w:pPr>
        <w:pStyle w:val="ListParagraph"/>
        <w:ind w:left="360"/>
        <w:jc w:val="left"/>
        <w:rPr>
          <w:szCs w:val="20"/>
        </w:rPr>
      </w:pPr>
    </w:p>
    <w:tbl>
      <w:tblPr>
        <w:tblW w:w="93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3777"/>
        <w:gridCol w:w="2002"/>
        <w:gridCol w:w="3577"/>
      </w:tblGrid>
      <w:tr w:rsidR="00680D86" w14:paraId="1937F058" w14:textId="77777777">
        <w:trPr>
          <w:trHeight w:val="724"/>
        </w:trPr>
        <w:tc>
          <w:tcPr>
            <w:tcW w:w="3777" w:type="dxa"/>
            <w:shd w:val="clear" w:color="A6A6A6" w:fill="FFFFFF"/>
            <w:vAlign w:val="center"/>
          </w:tcPr>
          <w:p w14:paraId="7C3F4E79" w14:textId="77777777" w:rsidR="00680D86" w:rsidRDefault="00B359A4">
            <w:pPr>
              <w:jc w:val="center"/>
              <w:rPr>
                <w:sz w:val="28"/>
                <w:szCs w:val="28"/>
              </w:rPr>
            </w:pPr>
            <w:bookmarkStart w:id="10" w:name="RiskLevelSliderTarget"/>
            <w:r>
              <w:rPr>
                <w:noProof/>
              </w:rPr>
              <w:drawing>
                <wp:inline distT="0" distB="0" distL="0" distR="0" wp14:anchorId="6D0DA6B5" wp14:editId="3FC15442">
                  <wp:extent cx="2222500" cy="35560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222500" cy="355600"/>
                          </a:xfrm>
                          <a:prstGeom prst="rect">
                            <a:avLst/>
                          </a:prstGeom>
                        </pic:spPr>
                      </pic:pic>
                    </a:graphicData>
                  </a:graphic>
                </wp:inline>
              </w:drawing>
            </w:r>
            <w:bookmarkEnd w:id="10"/>
          </w:p>
        </w:tc>
        <w:tc>
          <w:tcPr>
            <w:tcW w:w="2002" w:type="dxa"/>
            <w:shd w:val="clear" w:color="D9D9D9" w:fill="A6A6A6"/>
            <w:vAlign w:val="center"/>
          </w:tcPr>
          <w:p w14:paraId="23B27683" w14:textId="77777777" w:rsidR="00680D86" w:rsidRDefault="00B359A4">
            <w:pPr>
              <w:jc w:val="center"/>
              <w:rPr>
                <w:b/>
                <w:sz w:val="28"/>
                <w:szCs w:val="28"/>
              </w:rPr>
            </w:pPr>
            <w:r>
              <w:rPr>
                <w:b/>
                <w:sz w:val="28"/>
                <w:szCs w:val="28"/>
              </w:rPr>
              <w:t>Level 5</w:t>
            </w:r>
          </w:p>
        </w:tc>
        <w:tc>
          <w:tcPr>
            <w:tcW w:w="3577" w:type="dxa"/>
            <w:shd w:val="clear" w:color="D9D9D9" w:fill="D9D9D9"/>
            <w:vAlign w:val="center"/>
          </w:tcPr>
          <w:p w14:paraId="1079517D" w14:textId="77777777" w:rsidR="00680D86" w:rsidRDefault="00B359A4">
            <w:pPr>
              <w:jc w:val="center"/>
              <w:rPr>
                <w:b/>
                <w:sz w:val="28"/>
                <w:szCs w:val="28"/>
              </w:rPr>
            </w:pPr>
            <w:r>
              <w:rPr>
                <w:b/>
                <w:noProof/>
                <w:sz w:val="28"/>
                <w:szCs w:val="28"/>
                <w:lang w:eastAsia="en-GB"/>
              </w:rPr>
              <w:t>Medium</w:t>
            </w:r>
          </w:p>
        </w:tc>
      </w:tr>
    </w:tbl>
    <w:p w14:paraId="120C21D5" w14:textId="77777777" w:rsidR="00680D86" w:rsidRDefault="00680D86">
      <w:pPr>
        <w:pStyle w:val="ListParagraph"/>
        <w:ind w:left="360"/>
        <w:jc w:val="left"/>
        <w:rPr>
          <w:sz w:val="28"/>
          <w:szCs w:val="28"/>
        </w:rPr>
      </w:pPr>
    </w:p>
    <w:p w14:paraId="767AB541" w14:textId="77777777" w:rsidR="00680D86" w:rsidRDefault="00B359A4">
      <w:bookmarkStart w:id="11" w:name="RiskHtmlText"/>
      <w:r>
        <w:t>Your risk tolerance score puts you in the ''Medium risk'' category.  People in this category have a medium risk tolerance, and would probably prefer investments to fluctuate less and make more modest returns than risk losing money for higher returns. It is likely that you are looking for a balance of risk and reward, with the potential for higher returns in the longer term, and you may have some experience of investment, including investing in products containing riskier assets such as equities and bonds or</w:t>
      </w:r>
      <w:r>
        <w:t xml:space="preserve"> may be willing to take some risks with your capital. You are probably prepared to accept some fluctuation in order to make higher returns than exclusively low risk investments and are aware that the value of your investment will rise and fall. Examples of investments may include Fixed Interest Securities, Property, UK Equities, and International Equities. You could get back less than you invested.</w:t>
      </w:r>
      <w:bookmarkEnd w:id="11"/>
    </w:p>
    <w:p w14:paraId="5C886663" w14:textId="77777777" w:rsidR="00680D86" w:rsidRDefault="00680D86">
      <w:pPr>
        <w:rPr>
          <w:rFonts w:eastAsia="Calibri" w:cs="Calibri"/>
          <w:color w:val="000000"/>
          <w:szCs w:val="20"/>
          <w:shd w:val="clear" w:color="auto" w:fill="FFFFFF"/>
        </w:rPr>
      </w:pPr>
    </w:p>
    <w:p w14:paraId="77CCD3D4" w14:textId="77777777" w:rsidR="00680D86" w:rsidRDefault="00B359A4">
      <w:pPr>
        <w:rPr>
          <w:rFonts w:eastAsia="Calibri" w:cs="Calibri"/>
          <w:color w:val="000000"/>
          <w:szCs w:val="20"/>
          <w:shd w:val="clear" w:color="auto" w:fill="FFFFFF"/>
        </w:rPr>
      </w:pPr>
      <w:r>
        <w:rPr>
          <w:rFonts w:eastAsia="Calibri" w:cs="Calibri"/>
          <w:color w:val="000000"/>
          <w:szCs w:val="20"/>
          <w:shd w:val="clear" w:color="auto" w:fill="FFFFFF"/>
        </w:rPr>
        <w:t xml:space="preserve">Your questionnaire answers have a consistency rating of </w:t>
      </w:r>
      <w:bookmarkStart w:id="12" w:name="OLE_LINK1"/>
      <w:bookmarkStart w:id="13" w:name="OLE_LINK2"/>
      <w:r>
        <w:rPr>
          <w:rFonts w:eastAsia="Calibri" w:cs="Calibri"/>
          <w:color w:val="000000"/>
          <w:szCs w:val="20"/>
          <w:shd w:val="clear" w:color="auto" w:fill="FFFFFF"/>
        </w:rPr>
        <w:t xml:space="preserve">‘Red’. </w:t>
      </w:r>
      <w:bookmarkEnd w:id="12"/>
      <w:bookmarkEnd w:id="13"/>
      <w:r>
        <w:rPr>
          <w:rFonts w:eastAsia="Calibri" w:cs="Calibri"/>
          <w:color w:val="000000"/>
          <w:szCs w:val="20"/>
          <w:shd w:val="clear" w:color="auto" w:fill="FFFFFF"/>
        </w:rPr>
        <w:t>This is an indicator of the overall consistency of your answers, and has three possible ratings: Red, Amber or Green.</w:t>
      </w:r>
    </w:p>
    <w:p w14:paraId="07E7737D" w14:textId="77777777" w:rsidR="00680D86" w:rsidRDefault="00680D86">
      <w:pPr>
        <w:rPr>
          <w:rFonts w:eastAsia="Calibri" w:cs="Calibri"/>
          <w:color w:val="000000"/>
          <w:szCs w:val="20"/>
          <w:shd w:val="clear" w:color="auto" w:fill="FFFFFF"/>
        </w:rPr>
      </w:pPr>
    </w:p>
    <w:p w14:paraId="55464578" w14:textId="77777777" w:rsidR="00680D86" w:rsidRDefault="00B359A4">
      <w:pPr>
        <w:rPr>
          <w:rFonts w:eastAsia="Calibri" w:cs="Calibri"/>
          <w:color w:val="000000"/>
          <w:szCs w:val="20"/>
          <w:shd w:val="clear" w:color="auto" w:fill="FFFFFF"/>
        </w:rPr>
      </w:pPr>
      <w:r>
        <w:rPr>
          <w:rFonts w:eastAsia="Calibri" w:cs="Calibri"/>
          <w:color w:val="000000"/>
          <w:szCs w:val="20"/>
          <w:shd w:val="clear" w:color="auto" w:fill="FFFFFF"/>
        </w:rPr>
        <w:t>The rating indicates how much your answers deviate from your average score for each answer. For example, if your average score is 2.5 (calculated by total score/number of questions) but several of your answers are scored 1 and several are scored 5, this could result in a red or amber rating. If however, most of your answers are close to your average score, this is likely to result in a green rating.</w:t>
      </w:r>
    </w:p>
    <w:p w14:paraId="03E3FC3E" w14:textId="77777777" w:rsidR="00680D86" w:rsidRDefault="00680D86">
      <w:pPr>
        <w:rPr>
          <w:rFonts w:eastAsia="Calibri" w:cs="Calibri"/>
          <w:color w:val="000000"/>
          <w:szCs w:val="20"/>
          <w:shd w:val="clear" w:color="auto" w:fill="FFFFFF"/>
        </w:rPr>
      </w:pPr>
    </w:p>
    <w:p w14:paraId="5C507C5C" w14:textId="77777777" w:rsidR="00680D86" w:rsidRDefault="00B359A4">
      <w:pPr>
        <w:pStyle w:val="Heading2"/>
      </w:pPr>
      <w:r>
        <w:t>Asset Allocation</w:t>
      </w:r>
    </w:p>
    <w:p w14:paraId="16BFCB36" w14:textId="77777777" w:rsidR="00680D86" w:rsidRDefault="00B359A4">
      <w:pPr>
        <w:pStyle w:val="NormalWeb"/>
        <w:rPr>
          <w:szCs w:val="20"/>
        </w:rPr>
      </w:pPr>
      <w:r>
        <w:rPr>
          <w:szCs w:val="20"/>
        </w:rPr>
        <w:t>A large part of financial planning consists of finding an asset allocation that is appropriate for a given investor in terms of their appetite for, and ability to shoulder, risk. Asset allocation, done well, is a plan to invest in assets or asset classes which will best meet the needs and objectives of the investor.</w:t>
      </w:r>
    </w:p>
    <w:p w14:paraId="56E39EC6" w14:textId="77777777" w:rsidR="00680D86" w:rsidRDefault="00B359A4">
      <w:pPr>
        <w:pStyle w:val="NormalWeb"/>
        <w:rPr>
          <w:szCs w:val="20"/>
        </w:rPr>
      </w:pPr>
      <w:r>
        <w:rPr>
          <w:szCs w:val="20"/>
        </w:rPr>
        <w:t>Investors seeking high returns and willing to expose their investments to an elevated amount of risk will usually allocate to equity investments. Investors seeking stability and income will usually allocate to fixed interest investments.</w:t>
      </w:r>
    </w:p>
    <w:p w14:paraId="754EE8B2" w14:textId="77777777" w:rsidR="00680D86" w:rsidRDefault="00B359A4">
      <w:pPr>
        <w:pStyle w:val="NormalWeb"/>
        <w:rPr>
          <w:szCs w:val="20"/>
        </w:rPr>
      </w:pPr>
      <w:r>
        <w:rPr>
          <w:szCs w:val="20"/>
        </w:rPr>
        <w:t>Most investors, particularly personal investors, will find a blend of assets meets their needs. Asset Allocation can be practised by optimisation techniques, minimising risk for a given level of return or maximising return for a given level of risk. It also can be accomplished as goal based investing.</w:t>
      </w:r>
    </w:p>
    <w:p w14:paraId="6F41DB8A" w14:textId="77777777" w:rsidR="00680D86" w:rsidRDefault="00B359A4">
      <w:pPr>
        <w:spacing w:before="100" w:beforeAutospacing="1" w:after="100" w:afterAutospacing="1"/>
        <w:rPr>
          <w:szCs w:val="20"/>
          <w:lang w:eastAsia="en-GB"/>
        </w:rPr>
      </w:pPr>
      <w:r>
        <w:rPr>
          <w:szCs w:val="20"/>
          <w:lang w:eastAsia="en-GB"/>
        </w:rPr>
        <w:t>The primary goal of a strategic asset allocation is to create an overall asset mix that will provide the optimal balance between expected risk and return for a long-term investment horizon.</w:t>
      </w:r>
    </w:p>
    <w:p w14:paraId="4C90261B" w14:textId="77777777" w:rsidR="00680D86" w:rsidRDefault="00B359A4">
      <w:pPr>
        <w:jc w:val="left"/>
        <w:rPr>
          <w:szCs w:val="20"/>
          <w:lang w:eastAsia="en-GB"/>
        </w:rPr>
      </w:pPr>
      <w:r>
        <w:rPr>
          <w:szCs w:val="20"/>
          <w:lang w:eastAsia="en-GB"/>
        </w:rPr>
        <w:br w:type="page"/>
      </w:r>
    </w:p>
    <w:p w14:paraId="5112C614" w14:textId="77777777" w:rsidR="00680D86" w:rsidRDefault="00B359A4">
      <w:pPr>
        <w:rPr>
          <w:b/>
          <w:lang w:eastAsia="en-GB"/>
        </w:rPr>
      </w:pPr>
      <w:r>
        <w:rPr>
          <w:b/>
          <w:lang w:eastAsia="en-GB"/>
        </w:rPr>
        <w:lastRenderedPageBreak/>
        <w:t>Example asset allocations</w:t>
      </w:r>
    </w:p>
    <w:p w14:paraId="5845D929" w14:textId="77777777" w:rsidR="00680D86" w:rsidRDefault="00680D86">
      <w:pPr>
        <w:rPr>
          <w:b/>
          <w:lang w:eastAsia="en-GB"/>
        </w:rPr>
      </w:pPr>
    </w:p>
    <w:p w14:paraId="0AA8E951" w14:textId="77777777" w:rsidR="00680D86" w:rsidRDefault="00680D86">
      <w:pPr>
        <w:rPr>
          <w:b/>
          <w:lang w:eastAsia="en-GB"/>
        </w:rPr>
      </w:pPr>
      <w:bookmarkStart w:id="14" w:name="RiskLevelAssetAllocationKey"/>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480"/>
        <w:gridCol w:w="1100"/>
        <w:gridCol w:w="480"/>
        <w:gridCol w:w="1100"/>
        <w:gridCol w:w="480"/>
        <w:gridCol w:w="1100"/>
        <w:gridCol w:w="480"/>
        <w:gridCol w:w="1100"/>
        <w:gridCol w:w="480"/>
        <w:gridCol w:w="1300"/>
        <w:gridCol w:w="480"/>
        <w:gridCol w:w="1300"/>
      </w:tblGrid>
      <w:tr w:rsidR="00680D86" w14:paraId="59BACF00" w14:textId="77777777">
        <w:tblPrEx>
          <w:tblCellMar>
            <w:top w:w="0" w:type="dxa"/>
            <w:left w:w="0" w:type="dxa"/>
            <w:bottom w:w="0" w:type="dxa"/>
            <w:right w:w="0" w:type="dxa"/>
          </w:tblCellMar>
        </w:tblPrEx>
        <w:trPr>
          <w:trHeight w:val="480"/>
        </w:trPr>
        <w:tc>
          <w:tcPr>
            <w:tcW w:w="480" w:type="dxa"/>
            <w:shd w:val="clear" w:color="auto" w:fill="A0A0A0"/>
          </w:tcPr>
          <w:p w14:paraId="0D0B7FBA" w14:textId="77777777" w:rsidR="00680D86" w:rsidRDefault="00680D86"/>
        </w:tc>
        <w:tc>
          <w:tcPr>
            <w:tcW w:w="1100" w:type="dxa"/>
          </w:tcPr>
          <w:p w14:paraId="0D2FB7FF" w14:textId="77777777" w:rsidR="00680D86" w:rsidRDefault="00B359A4">
            <w:r>
              <w:t>Cash</w:t>
            </w:r>
          </w:p>
        </w:tc>
        <w:tc>
          <w:tcPr>
            <w:tcW w:w="480" w:type="dxa"/>
            <w:shd w:val="clear" w:color="auto" w:fill="B6BB7B"/>
          </w:tcPr>
          <w:p w14:paraId="7AB278AA" w14:textId="77777777" w:rsidR="00680D86" w:rsidRDefault="00680D86"/>
        </w:tc>
        <w:tc>
          <w:tcPr>
            <w:tcW w:w="1100" w:type="dxa"/>
          </w:tcPr>
          <w:p w14:paraId="2BCC1974" w14:textId="77777777" w:rsidR="00680D86" w:rsidRDefault="00B359A4">
            <w:r>
              <w:t>Fixed Interest</w:t>
            </w:r>
          </w:p>
        </w:tc>
        <w:tc>
          <w:tcPr>
            <w:tcW w:w="480" w:type="dxa"/>
            <w:shd w:val="clear" w:color="auto" w:fill="82505F"/>
          </w:tcPr>
          <w:p w14:paraId="4FF94F2E" w14:textId="77777777" w:rsidR="00680D86" w:rsidRDefault="00680D86"/>
        </w:tc>
        <w:tc>
          <w:tcPr>
            <w:tcW w:w="1100" w:type="dxa"/>
          </w:tcPr>
          <w:p w14:paraId="2A5F81F6" w14:textId="77777777" w:rsidR="00680D86" w:rsidRDefault="00B359A4">
            <w:r>
              <w:t>Property</w:t>
            </w:r>
          </w:p>
        </w:tc>
        <w:tc>
          <w:tcPr>
            <w:tcW w:w="480" w:type="dxa"/>
            <w:shd w:val="clear" w:color="auto" w:fill="789696"/>
          </w:tcPr>
          <w:p w14:paraId="2D098393" w14:textId="77777777" w:rsidR="00680D86" w:rsidRDefault="00680D86"/>
        </w:tc>
        <w:tc>
          <w:tcPr>
            <w:tcW w:w="1100" w:type="dxa"/>
          </w:tcPr>
          <w:p w14:paraId="610963A2" w14:textId="77777777" w:rsidR="00680D86" w:rsidRDefault="00B359A4">
            <w:r>
              <w:t>UK Equities</w:t>
            </w:r>
          </w:p>
        </w:tc>
        <w:tc>
          <w:tcPr>
            <w:tcW w:w="480" w:type="dxa"/>
            <w:shd w:val="clear" w:color="auto" w:fill="7DAABE"/>
          </w:tcPr>
          <w:p w14:paraId="404037C3" w14:textId="77777777" w:rsidR="00680D86" w:rsidRDefault="00680D86"/>
        </w:tc>
        <w:tc>
          <w:tcPr>
            <w:tcW w:w="1300" w:type="dxa"/>
          </w:tcPr>
          <w:p w14:paraId="7AA7FB9E" w14:textId="77777777" w:rsidR="00680D86" w:rsidRDefault="00B359A4">
            <w:r>
              <w:t>International Equities</w:t>
            </w:r>
          </w:p>
        </w:tc>
        <w:tc>
          <w:tcPr>
            <w:tcW w:w="480" w:type="dxa"/>
            <w:shd w:val="clear" w:color="auto" w:fill="8C8296"/>
          </w:tcPr>
          <w:p w14:paraId="196CDD0E" w14:textId="77777777" w:rsidR="00680D86" w:rsidRDefault="00680D86"/>
        </w:tc>
        <w:tc>
          <w:tcPr>
            <w:tcW w:w="1300" w:type="dxa"/>
          </w:tcPr>
          <w:p w14:paraId="006910EC" w14:textId="77777777" w:rsidR="00680D86" w:rsidRDefault="00B359A4">
            <w:r>
              <w:t>Emerging Markets</w:t>
            </w:r>
          </w:p>
        </w:tc>
      </w:tr>
      <w:bookmarkEnd w:id="14"/>
    </w:tbl>
    <w:p w14:paraId="6EA425B7" w14:textId="77777777" w:rsidR="00680D86" w:rsidRDefault="00680D86">
      <w:pPr>
        <w:rPr>
          <w:b/>
          <w:lang w:eastAsia="en-GB"/>
        </w:rPr>
      </w:pPr>
    </w:p>
    <w:p w14:paraId="2A47C93B" w14:textId="77777777" w:rsidR="00680D86" w:rsidRDefault="00680D86">
      <w:pPr>
        <w:rPr>
          <w:lang w:eastAsia="en-GB"/>
        </w:rPr>
      </w:pPr>
      <w:bookmarkStart w:id="15" w:name="RiskLevelAssetAllocationMatrix"/>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0"/>
        <w:gridCol w:w="6880"/>
        <w:gridCol w:w="1677"/>
      </w:tblGrid>
      <w:tr w:rsidR="00680D86" w14:paraId="4E6BA1DE" w14:textId="77777777">
        <w:tc>
          <w:tcPr>
            <w:tcW w:w="5000" w:type="pct"/>
            <w:gridSpan w:val="3"/>
            <w:shd w:val="clear" w:color="auto" w:fill="A6A6A6"/>
            <w:tcMar>
              <w:top w:w="57" w:type="dxa"/>
              <w:left w:w="57" w:type="dxa"/>
              <w:bottom w:w="57" w:type="dxa"/>
              <w:right w:w="57" w:type="dxa"/>
            </w:tcMar>
          </w:tcPr>
          <w:p w14:paraId="1EFF97B4" w14:textId="77777777" w:rsidR="00680D86" w:rsidRDefault="00B359A4">
            <w:pPr>
              <w:rPr>
                <w:b/>
              </w:rPr>
            </w:pPr>
            <w:r>
              <w:rPr>
                <w:b/>
              </w:rPr>
              <w:t xml:space="preserve"> Potential Asset Allocation Matrix</w:t>
            </w:r>
          </w:p>
        </w:tc>
      </w:tr>
      <w:tr w:rsidR="00680D86" w14:paraId="208C7A0F" w14:textId="77777777">
        <w:trPr>
          <w:trHeight w:val="120"/>
        </w:trPr>
        <w:tc>
          <w:tcPr>
            <w:tcW w:w="255"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22D9473" w14:textId="77777777" w:rsidR="00680D86" w:rsidRDefault="00B359A4">
            <w:pPr>
              <w:tabs>
                <w:tab w:val="left" w:pos="2160"/>
              </w:tabs>
              <w:spacing w:line="240" w:lineRule="exact"/>
              <w:jc w:val="center"/>
              <w:rPr>
                <w:rFonts w:cs="Calibri"/>
                <w:szCs w:val="20"/>
              </w:rPr>
            </w:pPr>
            <w:r>
              <w:rPr>
                <w:rFonts w:cs="Calibri"/>
                <w:b/>
                <w:szCs w:val="20"/>
              </w:rPr>
              <w:t>Risk Level</w:t>
            </w:r>
          </w:p>
        </w:tc>
        <w:tc>
          <w:tcPr>
            <w:tcW w:w="3815"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9A4A83C" w14:textId="77777777" w:rsidR="00680D86" w:rsidRDefault="00B359A4">
            <w:pPr>
              <w:tabs>
                <w:tab w:val="left" w:pos="2160"/>
              </w:tabs>
              <w:jc w:val="center"/>
              <w:rPr>
                <w:rFonts w:cs="Calibri"/>
                <w:szCs w:val="20"/>
              </w:rPr>
            </w:pPr>
            <w:r>
              <w:rPr>
                <w:rFonts w:cs="Calibri"/>
                <w:b/>
                <w:szCs w:val="20"/>
              </w:rPr>
              <w:t>Example Blend of assets for given level of risk</w:t>
            </w:r>
          </w:p>
        </w:tc>
        <w:tc>
          <w:tcPr>
            <w:tcW w:w="930"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CD7094C" w14:textId="77777777" w:rsidR="00680D86" w:rsidRDefault="00B359A4">
            <w:pPr>
              <w:tabs>
                <w:tab w:val="left" w:pos="2160"/>
              </w:tabs>
              <w:jc w:val="center"/>
              <w:rPr>
                <w:rFonts w:cs="Calibri"/>
                <w:szCs w:val="20"/>
              </w:rPr>
            </w:pPr>
            <w:r>
              <w:rPr>
                <w:rFonts w:cs="Calibri"/>
                <w:b/>
                <w:szCs w:val="20"/>
              </w:rPr>
              <w:t>Risk Description</w:t>
            </w:r>
          </w:p>
        </w:tc>
      </w:tr>
      <w:tr w:rsidR="00680D86" w14:paraId="2508DA42" w14:textId="77777777">
        <w:trPr>
          <w:trHeight w:val="120"/>
        </w:trPr>
        <w:tc>
          <w:tcPr>
            <w:tcW w:w="255" w:type="pct"/>
            <w:noWrap/>
            <w:vAlign w:val="center"/>
          </w:tcPr>
          <w:p w14:paraId="483355EF" w14:textId="77777777" w:rsidR="00680D86" w:rsidRDefault="00B359A4">
            <w:pPr>
              <w:tabs>
                <w:tab w:val="left" w:pos="2160"/>
              </w:tabs>
              <w:jc w:val="center"/>
              <w:rPr>
                <w:rFonts w:cs="Calibri"/>
                <w:szCs w:val="20"/>
              </w:rPr>
            </w:pPr>
            <w:r>
              <w:rPr>
                <w:rFonts w:cs="Calibri"/>
                <w:szCs w:val="20"/>
              </w:rPr>
              <w:t>1</w:t>
            </w:r>
          </w:p>
        </w:tc>
        <w:tc>
          <w:tcPr>
            <w:tcW w:w="3815" w:type="pct"/>
            <w:noWrap/>
            <w:tcMar>
              <w:top w:w="0" w:type="dxa"/>
              <w:left w:w="0" w:type="dxa"/>
              <w:bottom w:w="0" w:type="dxa"/>
              <w:right w:w="0" w:type="dxa"/>
            </w:tcMar>
          </w:tcPr>
          <w:p w14:paraId="74748C69" w14:textId="77777777" w:rsidR="00680D86" w:rsidRDefault="00B359A4">
            <w:pPr>
              <w:tabs>
                <w:tab w:val="left" w:pos="2160"/>
              </w:tabs>
              <w:rPr>
                <w:rFonts w:cs="Calibri"/>
                <w:szCs w:val="20"/>
              </w:rPr>
            </w:pPr>
            <w:r>
              <w:rPr>
                <w:noProof/>
              </w:rPr>
              <w:drawing>
                <wp:inline distT="0" distB="0" distL="0" distR="0" wp14:anchorId="76CA2E08" wp14:editId="4554E2BD">
                  <wp:extent cx="4410690" cy="342948"/>
                  <wp:effectExtent l="0" t="0" r="0" b="0"/>
                  <wp:docPr id="4" name="Picture 1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363B8923" w14:textId="77777777" w:rsidR="00680D86" w:rsidRDefault="00B359A4">
            <w:pPr>
              <w:tabs>
                <w:tab w:val="left" w:pos="2160"/>
              </w:tabs>
              <w:jc w:val="center"/>
              <w:rPr>
                <w:rFonts w:cs="Calibri"/>
                <w:szCs w:val="20"/>
              </w:rPr>
            </w:pPr>
            <w:r>
              <w:rPr>
                <w:rFonts w:cs="Calibri"/>
                <w:szCs w:val="20"/>
              </w:rPr>
              <w:t>Very Low</w:t>
            </w:r>
          </w:p>
        </w:tc>
      </w:tr>
      <w:tr w:rsidR="00680D86" w14:paraId="12D04D65" w14:textId="77777777">
        <w:trPr>
          <w:trHeight w:val="120"/>
        </w:trPr>
        <w:tc>
          <w:tcPr>
            <w:tcW w:w="255" w:type="pct"/>
            <w:noWrap/>
            <w:vAlign w:val="center"/>
          </w:tcPr>
          <w:p w14:paraId="5FA9E7F2" w14:textId="77777777" w:rsidR="00680D86" w:rsidRDefault="00B359A4">
            <w:pPr>
              <w:tabs>
                <w:tab w:val="left" w:pos="2160"/>
              </w:tabs>
              <w:jc w:val="center"/>
              <w:rPr>
                <w:rFonts w:cs="Calibri"/>
                <w:szCs w:val="20"/>
              </w:rPr>
            </w:pPr>
            <w:r>
              <w:rPr>
                <w:rFonts w:cs="Calibri"/>
                <w:szCs w:val="20"/>
              </w:rPr>
              <w:t>2</w:t>
            </w:r>
          </w:p>
        </w:tc>
        <w:tc>
          <w:tcPr>
            <w:tcW w:w="3815" w:type="pct"/>
            <w:noWrap/>
            <w:tcMar>
              <w:top w:w="0" w:type="dxa"/>
              <w:left w:w="0" w:type="dxa"/>
              <w:bottom w:w="0" w:type="dxa"/>
              <w:right w:w="0" w:type="dxa"/>
            </w:tcMar>
          </w:tcPr>
          <w:p w14:paraId="1434242E" w14:textId="77777777" w:rsidR="00680D86" w:rsidRDefault="00B359A4">
            <w:pPr>
              <w:tabs>
                <w:tab w:val="left" w:pos="2160"/>
              </w:tabs>
              <w:rPr>
                <w:rFonts w:cs="Calibri"/>
                <w:szCs w:val="20"/>
              </w:rPr>
            </w:pPr>
            <w:r>
              <w:rPr>
                <w:noProof/>
              </w:rPr>
              <w:drawing>
                <wp:inline distT="0" distB="0" distL="0" distR="0" wp14:anchorId="648B53FC" wp14:editId="5021D6E4">
                  <wp:extent cx="4410690" cy="342948"/>
                  <wp:effectExtent l="0" t="0" r="0" b="0"/>
                  <wp:docPr id="5" name="Picture 1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2F5CB674" w14:textId="77777777" w:rsidR="00680D86" w:rsidRDefault="00B359A4">
            <w:pPr>
              <w:tabs>
                <w:tab w:val="left" w:pos="2160"/>
              </w:tabs>
              <w:jc w:val="center"/>
              <w:rPr>
                <w:rFonts w:cs="Calibri"/>
                <w:szCs w:val="20"/>
              </w:rPr>
            </w:pPr>
            <w:r>
              <w:rPr>
                <w:rFonts w:cs="Calibri"/>
                <w:szCs w:val="20"/>
              </w:rPr>
              <w:t>Low</w:t>
            </w:r>
          </w:p>
        </w:tc>
      </w:tr>
      <w:tr w:rsidR="00680D86" w14:paraId="3BF46BA0" w14:textId="77777777">
        <w:trPr>
          <w:trHeight w:val="120"/>
        </w:trPr>
        <w:tc>
          <w:tcPr>
            <w:tcW w:w="255" w:type="pct"/>
            <w:noWrap/>
            <w:vAlign w:val="center"/>
          </w:tcPr>
          <w:p w14:paraId="5C35D995" w14:textId="77777777" w:rsidR="00680D86" w:rsidRDefault="00B359A4">
            <w:pPr>
              <w:tabs>
                <w:tab w:val="left" w:pos="2160"/>
              </w:tabs>
              <w:jc w:val="center"/>
              <w:rPr>
                <w:rFonts w:cs="Calibri"/>
                <w:szCs w:val="20"/>
              </w:rPr>
            </w:pPr>
            <w:r>
              <w:rPr>
                <w:rFonts w:cs="Calibri"/>
                <w:szCs w:val="20"/>
              </w:rPr>
              <w:t>3</w:t>
            </w:r>
          </w:p>
        </w:tc>
        <w:tc>
          <w:tcPr>
            <w:tcW w:w="3815" w:type="pct"/>
            <w:noWrap/>
            <w:tcMar>
              <w:top w:w="0" w:type="dxa"/>
              <w:left w:w="0" w:type="dxa"/>
              <w:bottom w:w="0" w:type="dxa"/>
              <w:right w:w="0" w:type="dxa"/>
            </w:tcMar>
          </w:tcPr>
          <w:p w14:paraId="18E90452" w14:textId="77777777" w:rsidR="00680D86" w:rsidRDefault="00B359A4">
            <w:pPr>
              <w:tabs>
                <w:tab w:val="left" w:pos="2160"/>
              </w:tabs>
              <w:rPr>
                <w:rFonts w:cs="Calibri"/>
                <w:szCs w:val="20"/>
              </w:rPr>
            </w:pPr>
            <w:r>
              <w:rPr>
                <w:noProof/>
              </w:rPr>
              <w:drawing>
                <wp:inline distT="0" distB="0" distL="0" distR="0" wp14:anchorId="3D3DDBB2" wp14:editId="0922009A">
                  <wp:extent cx="4410690" cy="342948"/>
                  <wp:effectExtent l="0" t="0" r="0" b="0"/>
                  <wp:docPr id="6" name="Picture 1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3E577370" w14:textId="77777777" w:rsidR="00680D86" w:rsidRDefault="00B359A4">
            <w:pPr>
              <w:tabs>
                <w:tab w:val="left" w:pos="2160"/>
              </w:tabs>
              <w:jc w:val="center"/>
              <w:rPr>
                <w:rFonts w:cs="Calibri"/>
                <w:szCs w:val="20"/>
              </w:rPr>
            </w:pPr>
            <w:r>
              <w:rPr>
                <w:rFonts w:cs="Calibri"/>
                <w:szCs w:val="20"/>
              </w:rPr>
              <w:t>Low Medium</w:t>
            </w:r>
          </w:p>
        </w:tc>
      </w:tr>
      <w:tr w:rsidR="00680D86" w14:paraId="3F4B553F" w14:textId="77777777">
        <w:trPr>
          <w:trHeight w:val="120"/>
        </w:trPr>
        <w:tc>
          <w:tcPr>
            <w:tcW w:w="255" w:type="pct"/>
            <w:noWrap/>
            <w:vAlign w:val="center"/>
          </w:tcPr>
          <w:p w14:paraId="2AD1AE18" w14:textId="77777777" w:rsidR="00680D86" w:rsidRDefault="00B359A4">
            <w:pPr>
              <w:tabs>
                <w:tab w:val="left" w:pos="2160"/>
              </w:tabs>
              <w:jc w:val="center"/>
              <w:rPr>
                <w:rFonts w:cs="Calibri"/>
                <w:szCs w:val="20"/>
              </w:rPr>
            </w:pPr>
            <w:r>
              <w:rPr>
                <w:rFonts w:cs="Calibri"/>
                <w:szCs w:val="20"/>
              </w:rPr>
              <w:t>4</w:t>
            </w:r>
          </w:p>
        </w:tc>
        <w:tc>
          <w:tcPr>
            <w:tcW w:w="3815" w:type="pct"/>
            <w:noWrap/>
            <w:tcMar>
              <w:top w:w="0" w:type="dxa"/>
              <w:left w:w="0" w:type="dxa"/>
              <w:bottom w:w="0" w:type="dxa"/>
              <w:right w:w="0" w:type="dxa"/>
            </w:tcMar>
          </w:tcPr>
          <w:p w14:paraId="4910A7CF" w14:textId="77777777" w:rsidR="00680D86" w:rsidRDefault="00B359A4">
            <w:pPr>
              <w:tabs>
                <w:tab w:val="left" w:pos="2160"/>
              </w:tabs>
              <w:rPr>
                <w:rFonts w:cs="Calibri"/>
                <w:szCs w:val="20"/>
              </w:rPr>
            </w:pPr>
            <w:r>
              <w:rPr>
                <w:noProof/>
              </w:rPr>
              <w:drawing>
                <wp:inline distT="0" distB="0" distL="0" distR="0" wp14:anchorId="787DCB9D" wp14:editId="0CF944AB">
                  <wp:extent cx="4410690" cy="342948"/>
                  <wp:effectExtent l="0" t="0" r="0" b="0"/>
                  <wp:docPr id="7" name="Picture 1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1F0288EB" w14:textId="77777777" w:rsidR="00680D86" w:rsidRDefault="00B359A4">
            <w:pPr>
              <w:tabs>
                <w:tab w:val="left" w:pos="2160"/>
              </w:tabs>
              <w:jc w:val="center"/>
              <w:rPr>
                <w:rFonts w:cs="Calibri"/>
                <w:szCs w:val="20"/>
              </w:rPr>
            </w:pPr>
            <w:r>
              <w:rPr>
                <w:rFonts w:cs="Calibri"/>
                <w:szCs w:val="20"/>
              </w:rPr>
              <w:t>Low Medium</w:t>
            </w:r>
          </w:p>
        </w:tc>
      </w:tr>
      <w:tr w:rsidR="00680D86" w14:paraId="0EE32CAB" w14:textId="77777777">
        <w:trPr>
          <w:trHeight w:val="120"/>
        </w:trPr>
        <w:tc>
          <w:tcPr>
            <w:tcW w:w="255" w:type="pct"/>
            <w:noWrap/>
            <w:vAlign w:val="center"/>
          </w:tcPr>
          <w:p w14:paraId="48121C5E" w14:textId="77777777" w:rsidR="00680D86" w:rsidRDefault="00B359A4">
            <w:pPr>
              <w:tabs>
                <w:tab w:val="left" w:pos="2160"/>
              </w:tabs>
              <w:jc w:val="center"/>
              <w:rPr>
                <w:rFonts w:cs="Calibri"/>
                <w:szCs w:val="20"/>
              </w:rPr>
            </w:pPr>
            <w:r>
              <w:rPr>
                <w:rFonts w:cs="Calibri"/>
                <w:szCs w:val="20"/>
              </w:rPr>
              <w:t>5</w:t>
            </w:r>
          </w:p>
        </w:tc>
        <w:tc>
          <w:tcPr>
            <w:tcW w:w="3815" w:type="pct"/>
            <w:noWrap/>
            <w:tcMar>
              <w:top w:w="0" w:type="dxa"/>
              <w:left w:w="0" w:type="dxa"/>
              <w:bottom w:w="0" w:type="dxa"/>
              <w:right w:w="0" w:type="dxa"/>
            </w:tcMar>
          </w:tcPr>
          <w:p w14:paraId="79D70AC0" w14:textId="77777777" w:rsidR="00680D86" w:rsidRDefault="00B359A4">
            <w:pPr>
              <w:tabs>
                <w:tab w:val="left" w:pos="2160"/>
              </w:tabs>
              <w:rPr>
                <w:rFonts w:cs="Calibri"/>
                <w:szCs w:val="20"/>
              </w:rPr>
            </w:pPr>
            <w:r>
              <w:rPr>
                <w:noProof/>
              </w:rPr>
              <w:drawing>
                <wp:inline distT="0" distB="0" distL="0" distR="0" wp14:anchorId="51CC06B2" wp14:editId="1B29CBCF">
                  <wp:extent cx="4410690" cy="342948"/>
                  <wp:effectExtent l="0" t="0" r="0" b="0"/>
                  <wp:docPr id="8" name="Picture 1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49C46854" w14:textId="77777777" w:rsidR="00680D86" w:rsidRDefault="00B359A4">
            <w:pPr>
              <w:tabs>
                <w:tab w:val="left" w:pos="2160"/>
              </w:tabs>
              <w:jc w:val="center"/>
              <w:rPr>
                <w:rFonts w:cs="Calibri"/>
                <w:szCs w:val="20"/>
              </w:rPr>
            </w:pPr>
            <w:r>
              <w:rPr>
                <w:rFonts w:cs="Calibri"/>
                <w:szCs w:val="20"/>
              </w:rPr>
              <w:t>Medium</w:t>
            </w:r>
          </w:p>
        </w:tc>
      </w:tr>
      <w:tr w:rsidR="00680D86" w14:paraId="6A5EB06D" w14:textId="77777777">
        <w:trPr>
          <w:trHeight w:val="120"/>
        </w:trPr>
        <w:tc>
          <w:tcPr>
            <w:tcW w:w="255" w:type="pct"/>
            <w:noWrap/>
            <w:vAlign w:val="center"/>
          </w:tcPr>
          <w:p w14:paraId="3C3560E8" w14:textId="77777777" w:rsidR="00680D86" w:rsidRDefault="00B359A4">
            <w:pPr>
              <w:tabs>
                <w:tab w:val="left" w:pos="2160"/>
              </w:tabs>
              <w:jc w:val="center"/>
              <w:rPr>
                <w:rFonts w:cs="Calibri"/>
                <w:szCs w:val="20"/>
              </w:rPr>
            </w:pPr>
            <w:r>
              <w:rPr>
                <w:rFonts w:cs="Calibri"/>
                <w:szCs w:val="20"/>
              </w:rPr>
              <w:t>6</w:t>
            </w:r>
          </w:p>
        </w:tc>
        <w:tc>
          <w:tcPr>
            <w:tcW w:w="3815" w:type="pct"/>
            <w:noWrap/>
            <w:tcMar>
              <w:top w:w="0" w:type="dxa"/>
              <w:left w:w="0" w:type="dxa"/>
              <w:bottom w:w="0" w:type="dxa"/>
              <w:right w:w="0" w:type="dxa"/>
            </w:tcMar>
          </w:tcPr>
          <w:p w14:paraId="66D37461" w14:textId="77777777" w:rsidR="00680D86" w:rsidRDefault="00B359A4">
            <w:pPr>
              <w:tabs>
                <w:tab w:val="left" w:pos="2160"/>
              </w:tabs>
              <w:rPr>
                <w:rFonts w:cs="Calibri"/>
                <w:szCs w:val="20"/>
              </w:rPr>
            </w:pPr>
            <w:r>
              <w:rPr>
                <w:noProof/>
              </w:rPr>
              <w:drawing>
                <wp:inline distT="0" distB="0" distL="0" distR="0" wp14:anchorId="2D7C8251" wp14:editId="1CA02728">
                  <wp:extent cx="4410690" cy="342948"/>
                  <wp:effectExtent l="0" t="0" r="0" b="0"/>
                  <wp:docPr id="9" name="Picture 17"/>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59248DBF" w14:textId="77777777" w:rsidR="00680D86" w:rsidRDefault="00B359A4">
            <w:pPr>
              <w:tabs>
                <w:tab w:val="left" w:pos="2160"/>
              </w:tabs>
              <w:jc w:val="center"/>
              <w:rPr>
                <w:rFonts w:cs="Calibri"/>
                <w:szCs w:val="20"/>
              </w:rPr>
            </w:pPr>
            <w:r>
              <w:rPr>
                <w:rFonts w:cs="Calibri"/>
                <w:szCs w:val="20"/>
              </w:rPr>
              <w:t>Medium</w:t>
            </w:r>
          </w:p>
        </w:tc>
      </w:tr>
      <w:tr w:rsidR="00680D86" w14:paraId="4684F532" w14:textId="77777777">
        <w:trPr>
          <w:trHeight w:val="120"/>
        </w:trPr>
        <w:tc>
          <w:tcPr>
            <w:tcW w:w="255" w:type="pct"/>
            <w:noWrap/>
            <w:vAlign w:val="center"/>
          </w:tcPr>
          <w:p w14:paraId="4DA32FD8" w14:textId="77777777" w:rsidR="00680D86" w:rsidRDefault="00B359A4">
            <w:pPr>
              <w:tabs>
                <w:tab w:val="left" w:pos="2160"/>
              </w:tabs>
              <w:jc w:val="center"/>
              <w:rPr>
                <w:rFonts w:cs="Calibri"/>
                <w:szCs w:val="20"/>
              </w:rPr>
            </w:pPr>
            <w:r>
              <w:rPr>
                <w:rFonts w:cs="Calibri"/>
                <w:szCs w:val="20"/>
              </w:rPr>
              <w:t>7</w:t>
            </w:r>
          </w:p>
        </w:tc>
        <w:tc>
          <w:tcPr>
            <w:tcW w:w="3815" w:type="pct"/>
            <w:noWrap/>
            <w:tcMar>
              <w:top w:w="0" w:type="dxa"/>
              <w:left w:w="0" w:type="dxa"/>
              <w:bottom w:w="0" w:type="dxa"/>
              <w:right w:w="0" w:type="dxa"/>
            </w:tcMar>
          </w:tcPr>
          <w:p w14:paraId="086F610A" w14:textId="77777777" w:rsidR="00680D86" w:rsidRDefault="00B359A4">
            <w:pPr>
              <w:tabs>
                <w:tab w:val="left" w:pos="2160"/>
              </w:tabs>
              <w:rPr>
                <w:rFonts w:cs="Calibri"/>
                <w:szCs w:val="20"/>
              </w:rPr>
            </w:pPr>
            <w:r>
              <w:rPr>
                <w:noProof/>
              </w:rPr>
              <w:drawing>
                <wp:inline distT="0" distB="0" distL="0" distR="0" wp14:anchorId="470AF92E" wp14:editId="0B0636C7">
                  <wp:extent cx="4410690" cy="342948"/>
                  <wp:effectExtent l="0" t="0" r="0" b="0"/>
                  <wp:docPr id="10" name="Picture 18"/>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33EA81DE" w14:textId="77777777" w:rsidR="00680D86" w:rsidRDefault="00B359A4">
            <w:pPr>
              <w:tabs>
                <w:tab w:val="left" w:pos="2160"/>
              </w:tabs>
              <w:jc w:val="center"/>
              <w:rPr>
                <w:rFonts w:cs="Calibri"/>
                <w:szCs w:val="20"/>
              </w:rPr>
            </w:pPr>
            <w:r>
              <w:rPr>
                <w:rFonts w:cs="Calibri"/>
                <w:szCs w:val="20"/>
              </w:rPr>
              <w:t>Medium High</w:t>
            </w:r>
          </w:p>
        </w:tc>
      </w:tr>
      <w:tr w:rsidR="00680D86" w14:paraId="6D711F9F" w14:textId="77777777">
        <w:trPr>
          <w:trHeight w:val="120"/>
        </w:trPr>
        <w:tc>
          <w:tcPr>
            <w:tcW w:w="255" w:type="pct"/>
            <w:noWrap/>
            <w:vAlign w:val="center"/>
          </w:tcPr>
          <w:p w14:paraId="75BF46F1" w14:textId="77777777" w:rsidR="00680D86" w:rsidRDefault="00B359A4">
            <w:pPr>
              <w:tabs>
                <w:tab w:val="left" w:pos="2160"/>
              </w:tabs>
              <w:jc w:val="center"/>
              <w:rPr>
                <w:rFonts w:cs="Calibri"/>
                <w:szCs w:val="20"/>
              </w:rPr>
            </w:pPr>
            <w:r>
              <w:rPr>
                <w:rFonts w:cs="Calibri"/>
                <w:szCs w:val="20"/>
              </w:rPr>
              <w:t>8</w:t>
            </w:r>
          </w:p>
        </w:tc>
        <w:tc>
          <w:tcPr>
            <w:tcW w:w="3815" w:type="pct"/>
            <w:noWrap/>
            <w:tcMar>
              <w:top w:w="0" w:type="dxa"/>
              <w:left w:w="0" w:type="dxa"/>
              <w:bottom w:w="0" w:type="dxa"/>
              <w:right w:w="0" w:type="dxa"/>
            </w:tcMar>
          </w:tcPr>
          <w:p w14:paraId="46118C34" w14:textId="77777777" w:rsidR="00680D86" w:rsidRDefault="00B359A4">
            <w:pPr>
              <w:tabs>
                <w:tab w:val="left" w:pos="2160"/>
              </w:tabs>
              <w:rPr>
                <w:rFonts w:cs="Calibri"/>
                <w:szCs w:val="20"/>
              </w:rPr>
            </w:pPr>
            <w:r>
              <w:rPr>
                <w:noProof/>
              </w:rPr>
              <w:drawing>
                <wp:inline distT="0" distB="0" distL="0" distR="0" wp14:anchorId="08701456" wp14:editId="4EC8E8E1">
                  <wp:extent cx="4410690" cy="342948"/>
                  <wp:effectExtent l="0" t="0" r="0" b="0"/>
                  <wp:docPr id="11" name="Picture 19"/>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2A3C7C16" w14:textId="77777777" w:rsidR="00680D86" w:rsidRDefault="00B359A4">
            <w:pPr>
              <w:tabs>
                <w:tab w:val="left" w:pos="2160"/>
              </w:tabs>
              <w:jc w:val="center"/>
              <w:rPr>
                <w:rFonts w:cs="Calibri"/>
                <w:szCs w:val="20"/>
              </w:rPr>
            </w:pPr>
            <w:r>
              <w:rPr>
                <w:rFonts w:cs="Calibri"/>
                <w:szCs w:val="20"/>
              </w:rPr>
              <w:t>Medium High</w:t>
            </w:r>
          </w:p>
        </w:tc>
      </w:tr>
      <w:tr w:rsidR="00680D86" w14:paraId="4584ABF8" w14:textId="77777777">
        <w:trPr>
          <w:trHeight w:val="120"/>
        </w:trPr>
        <w:tc>
          <w:tcPr>
            <w:tcW w:w="255" w:type="pct"/>
            <w:noWrap/>
            <w:vAlign w:val="center"/>
          </w:tcPr>
          <w:p w14:paraId="27D7097B" w14:textId="77777777" w:rsidR="00680D86" w:rsidRDefault="00B359A4">
            <w:pPr>
              <w:tabs>
                <w:tab w:val="left" w:pos="2160"/>
              </w:tabs>
              <w:jc w:val="center"/>
              <w:rPr>
                <w:rFonts w:cs="Calibri"/>
                <w:szCs w:val="20"/>
              </w:rPr>
            </w:pPr>
            <w:r>
              <w:rPr>
                <w:rFonts w:cs="Calibri"/>
                <w:szCs w:val="20"/>
              </w:rPr>
              <w:t>9</w:t>
            </w:r>
          </w:p>
        </w:tc>
        <w:tc>
          <w:tcPr>
            <w:tcW w:w="3815" w:type="pct"/>
            <w:noWrap/>
            <w:tcMar>
              <w:top w:w="0" w:type="dxa"/>
              <w:left w:w="0" w:type="dxa"/>
              <w:bottom w:w="0" w:type="dxa"/>
              <w:right w:w="0" w:type="dxa"/>
            </w:tcMar>
          </w:tcPr>
          <w:p w14:paraId="7F936AC1" w14:textId="77777777" w:rsidR="00680D86" w:rsidRDefault="00B359A4">
            <w:pPr>
              <w:tabs>
                <w:tab w:val="left" w:pos="2160"/>
              </w:tabs>
              <w:rPr>
                <w:rFonts w:cs="Calibri"/>
                <w:szCs w:val="20"/>
              </w:rPr>
            </w:pPr>
            <w:r>
              <w:rPr>
                <w:noProof/>
              </w:rPr>
              <w:drawing>
                <wp:inline distT="0" distB="0" distL="0" distR="0" wp14:anchorId="0C9ADE14" wp14:editId="2C464CAE">
                  <wp:extent cx="4410690" cy="342948"/>
                  <wp:effectExtent l="0" t="0" r="0" b="0"/>
                  <wp:docPr id="12" name="Picture 2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55735B5C" w14:textId="77777777" w:rsidR="00680D86" w:rsidRDefault="00B359A4">
            <w:pPr>
              <w:tabs>
                <w:tab w:val="left" w:pos="2160"/>
              </w:tabs>
              <w:jc w:val="center"/>
              <w:rPr>
                <w:rFonts w:cs="Calibri"/>
                <w:szCs w:val="20"/>
              </w:rPr>
            </w:pPr>
            <w:r>
              <w:rPr>
                <w:rFonts w:cs="Calibri"/>
                <w:szCs w:val="20"/>
              </w:rPr>
              <w:t>High</w:t>
            </w:r>
          </w:p>
        </w:tc>
      </w:tr>
      <w:tr w:rsidR="00680D86" w14:paraId="4A7C2167" w14:textId="77777777">
        <w:trPr>
          <w:trHeight w:val="120"/>
        </w:trPr>
        <w:tc>
          <w:tcPr>
            <w:tcW w:w="255" w:type="pct"/>
            <w:noWrap/>
            <w:vAlign w:val="center"/>
          </w:tcPr>
          <w:p w14:paraId="0DC610E1" w14:textId="77777777" w:rsidR="00680D86" w:rsidRDefault="00B359A4">
            <w:pPr>
              <w:tabs>
                <w:tab w:val="left" w:pos="2160"/>
              </w:tabs>
              <w:jc w:val="center"/>
              <w:rPr>
                <w:rFonts w:cs="Calibri"/>
                <w:szCs w:val="20"/>
              </w:rPr>
            </w:pPr>
            <w:r>
              <w:rPr>
                <w:rFonts w:cs="Calibri"/>
                <w:szCs w:val="20"/>
              </w:rPr>
              <w:t>10</w:t>
            </w:r>
          </w:p>
        </w:tc>
        <w:tc>
          <w:tcPr>
            <w:tcW w:w="3815" w:type="pct"/>
            <w:noWrap/>
            <w:tcMar>
              <w:top w:w="0" w:type="dxa"/>
              <w:left w:w="0" w:type="dxa"/>
              <w:bottom w:w="0" w:type="dxa"/>
              <w:right w:w="0" w:type="dxa"/>
            </w:tcMar>
          </w:tcPr>
          <w:p w14:paraId="02823BAB" w14:textId="77777777" w:rsidR="00680D86" w:rsidRDefault="00B359A4">
            <w:pPr>
              <w:tabs>
                <w:tab w:val="left" w:pos="2160"/>
              </w:tabs>
              <w:rPr>
                <w:rFonts w:cs="Calibri"/>
                <w:szCs w:val="20"/>
              </w:rPr>
            </w:pPr>
            <w:r>
              <w:rPr>
                <w:noProof/>
              </w:rPr>
              <w:drawing>
                <wp:inline distT="0" distB="0" distL="0" distR="0" wp14:anchorId="1FF87785" wp14:editId="1A0DE7A9">
                  <wp:extent cx="4410690" cy="342948"/>
                  <wp:effectExtent l="0" t="0" r="0" b="0"/>
                  <wp:docPr id="13" name="Picture 2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5937BDE0" w14:textId="77777777" w:rsidR="00680D86" w:rsidRDefault="00B359A4">
            <w:pPr>
              <w:tabs>
                <w:tab w:val="left" w:pos="2160"/>
              </w:tabs>
              <w:jc w:val="center"/>
              <w:rPr>
                <w:rFonts w:cs="Calibri"/>
                <w:szCs w:val="20"/>
              </w:rPr>
            </w:pPr>
            <w:r>
              <w:rPr>
                <w:rFonts w:cs="Calibri"/>
                <w:szCs w:val="20"/>
              </w:rPr>
              <w:t>Very High</w:t>
            </w:r>
          </w:p>
        </w:tc>
      </w:tr>
    </w:tbl>
    <w:p w14:paraId="171A53E6" w14:textId="77777777" w:rsidR="00680D86" w:rsidRDefault="00680D86">
      <w:pPr>
        <w:rPr>
          <w:lang w:eastAsia="en-GB"/>
        </w:rPr>
      </w:pPr>
    </w:p>
    <w:bookmarkEnd w:id="15"/>
    <w:p w14:paraId="68114C1C" w14:textId="77777777" w:rsidR="00680D86" w:rsidRDefault="00680D86">
      <w:pPr>
        <w:rPr>
          <w:lang w:eastAsia="en-G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3697"/>
        <w:gridCol w:w="3643"/>
        <w:gridCol w:w="1677"/>
      </w:tblGrid>
      <w:tr w:rsidR="00680D86" w14:paraId="293B2FCB" w14:textId="77777777">
        <w:tc>
          <w:tcPr>
            <w:tcW w:w="5000" w:type="pct"/>
            <w:gridSpan w:val="3"/>
            <w:shd w:val="clear" w:color="auto" w:fill="A6A6A6"/>
          </w:tcPr>
          <w:p w14:paraId="7AA1B8CB" w14:textId="77777777" w:rsidR="00680D86" w:rsidRDefault="00B359A4">
            <w:pPr>
              <w:rPr>
                <w:b/>
                <w:szCs w:val="20"/>
              </w:rPr>
            </w:pPr>
            <w:r>
              <w:rPr>
                <w:b/>
                <w:szCs w:val="20"/>
              </w:rPr>
              <w:t>Example portfolio construction for a level 5, Medium Risk Investor</w:t>
            </w:r>
          </w:p>
        </w:tc>
      </w:tr>
      <w:tr w:rsidR="00680D86" w14:paraId="3C10F495" w14:textId="77777777">
        <w:trPr>
          <w:trHeight w:val="120"/>
        </w:trPr>
        <w:tc>
          <w:tcPr>
            <w:tcW w:w="2050" w:type="pct"/>
            <w:tcBorders>
              <w:top w:val="single" w:sz="4" w:space="0" w:color="000000"/>
              <w:left w:val="single" w:sz="4" w:space="0" w:color="000000"/>
              <w:bottom w:val="single" w:sz="4" w:space="0" w:color="000000"/>
              <w:right w:val="single" w:sz="4" w:space="0" w:color="000000"/>
            </w:tcBorders>
            <w:shd w:val="clear" w:color="auto" w:fill="D9D9D9"/>
          </w:tcPr>
          <w:p w14:paraId="5EA555E3" w14:textId="77777777" w:rsidR="00680D86" w:rsidRDefault="00B359A4">
            <w:pPr>
              <w:tabs>
                <w:tab w:val="left" w:pos="2160"/>
              </w:tabs>
              <w:jc w:val="center"/>
              <w:rPr>
                <w:rFonts w:cs="Calibri"/>
                <w:szCs w:val="20"/>
              </w:rPr>
            </w:pPr>
            <w:r>
              <w:rPr>
                <w:b/>
              </w:rPr>
              <w:t>Asset Allocation</w:t>
            </w:r>
          </w:p>
        </w:tc>
        <w:tc>
          <w:tcPr>
            <w:tcW w:w="2950" w:type="pct"/>
            <w:gridSpan w:val="2"/>
            <w:tcBorders>
              <w:top w:val="single" w:sz="4" w:space="0" w:color="000000"/>
              <w:left w:val="single" w:sz="4" w:space="0" w:color="000000"/>
              <w:bottom w:val="single" w:sz="4" w:space="0" w:color="000000"/>
              <w:right w:val="single" w:sz="4" w:space="0" w:color="000000"/>
            </w:tcBorders>
            <w:shd w:val="clear" w:color="auto" w:fill="D9D9D9"/>
          </w:tcPr>
          <w:p w14:paraId="07DCC8D3" w14:textId="77777777" w:rsidR="00680D86" w:rsidRDefault="00B359A4">
            <w:pPr>
              <w:tabs>
                <w:tab w:val="left" w:pos="2160"/>
              </w:tabs>
              <w:jc w:val="center"/>
              <w:rPr>
                <w:rFonts w:cs="Calibri"/>
                <w:szCs w:val="20"/>
              </w:rPr>
            </w:pPr>
            <w:r>
              <w:rPr>
                <w:b/>
                <w:szCs w:val="20"/>
              </w:rPr>
              <w:t>Ratios for the above asset allocation</w:t>
            </w:r>
          </w:p>
        </w:tc>
      </w:tr>
      <w:tr w:rsidR="00680D86" w14:paraId="356A17D7" w14:textId="77777777">
        <w:tc>
          <w:tcPr>
            <w:tcW w:w="2050" w:type="pct"/>
            <w:vMerge w:val="restart"/>
          </w:tcPr>
          <w:p w14:paraId="7183DF3A" w14:textId="77777777" w:rsidR="00680D86" w:rsidRDefault="00B359A4">
            <w:pPr>
              <w:jc w:val="center"/>
              <w:rPr>
                <w:rFonts w:cs="Calibri"/>
                <w:szCs w:val="20"/>
              </w:rPr>
            </w:pPr>
            <w:bookmarkStart w:id="16" w:name="RiskLevelAssetAllocationPie"/>
            <w:r>
              <w:rPr>
                <w:rFonts w:cs="Calibri"/>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3634"/>
            </w:tblGrid>
            <w:tr w:rsidR="00680D86" w14:paraId="070FB752" w14:textId="77777777">
              <w:tblPrEx>
                <w:tblCellMar>
                  <w:top w:w="0" w:type="dxa"/>
                  <w:left w:w="0" w:type="dxa"/>
                  <w:bottom w:w="0" w:type="dxa"/>
                  <w:right w:w="0" w:type="dxa"/>
                </w:tblCellMar>
              </w:tblPrEx>
              <w:tc>
                <w:tcPr>
                  <w:tcW w:w="3634" w:type="dxa"/>
                </w:tcPr>
                <w:p w14:paraId="6B17B1DF" w14:textId="77777777" w:rsidR="00680D86" w:rsidRDefault="00B359A4">
                  <w:r>
                    <w:rPr>
                      <w:noProof/>
                    </w:rPr>
                    <w:drawing>
                      <wp:inline distT="0" distB="0" distL="0" distR="0" wp14:anchorId="227CF6AB" wp14:editId="2F0FC168">
                        <wp:extent cx="2238688" cy="1714740"/>
                        <wp:effectExtent l="0" t="0" r="0" b="0"/>
                        <wp:docPr id="14" name="Picture 2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2238688" cy="1714740"/>
                                </a:xfrm>
                                <a:prstGeom prst="rect">
                                  <a:avLst/>
                                </a:prstGeom>
                              </pic:spPr>
                            </pic:pic>
                          </a:graphicData>
                        </a:graphic>
                      </wp:inline>
                    </w:drawing>
                  </w:r>
                </w:p>
              </w:tc>
            </w:tr>
            <w:bookmarkEnd w:id="16"/>
          </w:tbl>
          <w:p w14:paraId="00F86949" w14:textId="77777777" w:rsidR="00680D86" w:rsidRDefault="00680D86">
            <w:pPr>
              <w:jc w:val="center"/>
              <w:rPr>
                <w:rFonts w:cs="Calibri"/>
                <w:szCs w:val="20"/>
              </w:rPr>
            </w:pPr>
          </w:p>
        </w:tc>
        <w:tc>
          <w:tcPr>
            <w:tcW w:w="2020" w:type="pct"/>
            <w:tcBorders>
              <w:bottom w:val="single" w:sz="4" w:space="0" w:color="000000"/>
            </w:tcBorders>
          </w:tcPr>
          <w:p w14:paraId="54EBB43D" w14:textId="77777777" w:rsidR="00680D86" w:rsidRDefault="00B359A4">
            <w:pPr>
              <w:jc w:val="left"/>
              <w:rPr>
                <w:rFonts w:cs="Calibri"/>
                <w:szCs w:val="20"/>
              </w:rPr>
            </w:pPr>
            <w:r>
              <w:rPr>
                <w:szCs w:val="20"/>
              </w:rPr>
              <w:t>Example Volatility</w:t>
            </w:r>
          </w:p>
        </w:tc>
        <w:tc>
          <w:tcPr>
            <w:tcW w:w="930" w:type="pct"/>
            <w:tcBorders>
              <w:bottom w:val="single" w:sz="4" w:space="0" w:color="000000"/>
            </w:tcBorders>
          </w:tcPr>
          <w:p w14:paraId="716E7421" w14:textId="77777777" w:rsidR="00680D86" w:rsidRDefault="00B359A4">
            <w:pPr>
              <w:jc w:val="left"/>
              <w:rPr>
                <w:rFonts w:cs="Calibri"/>
                <w:szCs w:val="20"/>
              </w:rPr>
            </w:pPr>
            <w:r>
              <w:rPr>
                <w:rFonts w:cs="Calibri"/>
                <w:color w:val="000000"/>
                <w:szCs w:val="20"/>
              </w:rPr>
              <w:t>10.00% - 12.00%</w:t>
            </w:r>
          </w:p>
        </w:tc>
      </w:tr>
      <w:tr w:rsidR="00680D86" w14:paraId="769CF605" w14:textId="77777777">
        <w:tc>
          <w:tcPr>
            <w:tcW w:w="2050" w:type="pct"/>
            <w:vMerge/>
            <w:vAlign w:val="center"/>
          </w:tcPr>
          <w:p w14:paraId="422164B4" w14:textId="77777777" w:rsidR="00680D86" w:rsidRDefault="00680D86">
            <w:pPr>
              <w:rPr>
                <w:rFonts w:cs="Calibri"/>
                <w:szCs w:val="20"/>
              </w:rPr>
            </w:pPr>
          </w:p>
        </w:tc>
        <w:tc>
          <w:tcPr>
            <w:tcW w:w="2020" w:type="pct"/>
            <w:vAlign w:val="center"/>
          </w:tcPr>
          <w:p w14:paraId="16211FD1" w14:textId="77777777" w:rsidR="00680D86" w:rsidRDefault="00B359A4">
            <w:pPr>
              <w:jc w:val="left"/>
              <w:rPr>
                <w:rFonts w:cs="Calibri"/>
                <w:szCs w:val="20"/>
              </w:rPr>
            </w:pPr>
            <w:r>
              <w:rPr>
                <w:szCs w:val="20"/>
              </w:rPr>
              <w:t>Example portfolio based on value</w:t>
            </w:r>
          </w:p>
        </w:tc>
        <w:tc>
          <w:tcPr>
            <w:tcW w:w="930" w:type="pct"/>
            <w:vAlign w:val="center"/>
          </w:tcPr>
          <w:p w14:paraId="0FCE40E9" w14:textId="77777777" w:rsidR="00680D86" w:rsidRDefault="00B359A4">
            <w:pPr>
              <w:jc w:val="left"/>
              <w:rPr>
                <w:rFonts w:cs="Calibri"/>
                <w:szCs w:val="20"/>
              </w:rPr>
            </w:pPr>
            <w:r>
              <w:rPr>
                <w:rFonts w:cs="Calibri"/>
                <w:szCs w:val="20"/>
              </w:rPr>
              <w:t>£10,000.00</w:t>
            </w:r>
          </w:p>
        </w:tc>
      </w:tr>
      <w:tr w:rsidR="00680D86" w14:paraId="7FD9C779" w14:textId="77777777">
        <w:tc>
          <w:tcPr>
            <w:tcW w:w="2050" w:type="pct"/>
            <w:vMerge/>
            <w:vAlign w:val="center"/>
          </w:tcPr>
          <w:p w14:paraId="7E9713AD" w14:textId="77777777" w:rsidR="00680D86" w:rsidRDefault="00680D86">
            <w:pPr>
              <w:rPr>
                <w:rFonts w:cs="Calibri"/>
                <w:szCs w:val="20"/>
              </w:rPr>
            </w:pPr>
          </w:p>
        </w:tc>
        <w:tc>
          <w:tcPr>
            <w:tcW w:w="2020" w:type="pct"/>
            <w:vAlign w:val="center"/>
          </w:tcPr>
          <w:p w14:paraId="04DAC96A" w14:textId="77777777" w:rsidR="00680D86" w:rsidRDefault="00B359A4">
            <w:pPr>
              <w:jc w:val="left"/>
              <w:rPr>
                <w:szCs w:val="20"/>
              </w:rPr>
            </w:pPr>
            <w:r>
              <w:rPr>
                <w:szCs w:val="20"/>
              </w:rPr>
              <w:t>Potential 1 year loss</w:t>
            </w:r>
          </w:p>
        </w:tc>
        <w:tc>
          <w:tcPr>
            <w:tcW w:w="930" w:type="pct"/>
            <w:vAlign w:val="center"/>
          </w:tcPr>
          <w:p w14:paraId="586D9AD5" w14:textId="77777777" w:rsidR="00680D86" w:rsidRDefault="00B359A4">
            <w:pPr>
              <w:jc w:val="left"/>
              <w:rPr>
                <w:rFonts w:cs="Calibri"/>
                <w:szCs w:val="20"/>
              </w:rPr>
            </w:pPr>
            <w:r>
              <w:rPr>
                <w:rFonts w:cs="Calibri"/>
                <w:color w:val="FF0000"/>
                <w:szCs w:val="20"/>
              </w:rPr>
              <w:t>£1,453.00</w:t>
            </w:r>
          </w:p>
        </w:tc>
      </w:tr>
      <w:tr w:rsidR="00680D86" w14:paraId="69676461" w14:textId="77777777">
        <w:tc>
          <w:tcPr>
            <w:tcW w:w="2050" w:type="pct"/>
            <w:vMerge/>
            <w:vAlign w:val="center"/>
          </w:tcPr>
          <w:p w14:paraId="60C674F3" w14:textId="77777777" w:rsidR="00680D86" w:rsidRDefault="00680D86">
            <w:pPr>
              <w:rPr>
                <w:rFonts w:cs="Calibri"/>
                <w:szCs w:val="20"/>
              </w:rPr>
            </w:pPr>
          </w:p>
        </w:tc>
        <w:tc>
          <w:tcPr>
            <w:tcW w:w="2020" w:type="pct"/>
            <w:vAlign w:val="center"/>
          </w:tcPr>
          <w:p w14:paraId="38818231" w14:textId="77777777" w:rsidR="00680D86" w:rsidRDefault="00B359A4">
            <w:pPr>
              <w:jc w:val="left"/>
              <w:rPr>
                <w:szCs w:val="20"/>
              </w:rPr>
            </w:pPr>
            <w:r>
              <w:rPr>
                <w:szCs w:val="20"/>
              </w:rPr>
              <w:t>Potential 1 year gain</w:t>
            </w:r>
          </w:p>
        </w:tc>
        <w:tc>
          <w:tcPr>
            <w:tcW w:w="930" w:type="pct"/>
            <w:vAlign w:val="center"/>
          </w:tcPr>
          <w:p w14:paraId="5B6C6B90" w14:textId="77777777" w:rsidR="00680D86" w:rsidRDefault="00B359A4">
            <w:pPr>
              <w:jc w:val="left"/>
              <w:rPr>
                <w:rFonts w:cs="Calibri"/>
                <w:color w:val="008000"/>
                <w:szCs w:val="20"/>
              </w:rPr>
            </w:pPr>
            <w:r>
              <w:rPr>
                <w:rFonts w:cs="Calibri"/>
                <w:color w:val="008000"/>
                <w:szCs w:val="20"/>
              </w:rPr>
              <w:t>£1,846.00</w:t>
            </w:r>
          </w:p>
        </w:tc>
      </w:tr>
      <w:tr w:rsidR="00680D86" w14:paraId="24D9C8EE" w14:textId="77777777">
        <w:tc>
          <w:tcPr>
            <w:tcW w:w="2050" w:type="pct"/>
            <w:vMerge/>
            <w:vAlign w:val="center"/>
          </w:tcPr>
          <w:p w14:paraId="3E82BAC0" w14:textId="77777777" w:rsidR="00680D86" w:rsidRDefault="00680D86">
            <w:pPr>
              <w:rPr>
                <w:rFonts w:cs="Calibri"/>
                <w:szCs w:val="20"/>
              </w:rPr>
            </w:pPr>
          </w:p>
        </w:tc>
        <w:tc>
          <w:tcPr>
            <w:tcW w:w="2020" w:type="pct"/>
            <w:vAlign w:val="center"/>
          </w:tcPr>
          <w:p w14:paraId="3843259A" w14:textId="77777777" w:rsidR="00680D86" w:rsidRDefault="00B359A4">
            <w:pPr>
              <w:jc w:val="left"/>
              <w:rPr>
                <w:rFonts w:cs="Calibri"/>
                <w:szCs w:val="20"/>
              </w:rPr>
            </w:pPr>
            <w:r>
              <w:rPr>
                <w:szCs w:val="20"/>
              </w:rPr>
              <w:t>Suggested Time Horizon</w:t>
            </w:r>
          </w:p>
        </w:tc>
        <w:tc>
          <w:tcPr>
            <w:tcW w:w="930" w:type="pct"/>
            <w:vAlign w:val="center"/>
          </w:tcPr>
          <w:p w14:paraId="03065439" w14:textId="77777777" w:rsidR="00680D86" w:rsidRDefault="00B359A4">
            <w:pPr>
              <w:jc w:val="left"/>
              <w:rPr>
                <w:rFonts w:cs="Calibri"/>
                <w:szCs w:val="20"/>
              </w:rPr>
            </w:pPr>
            <w:r>
              <w:rPr>
                <w:rFonts w:cs="Calibri"/>
                <w:szCs w:val="20"/>
              </w:rPr>
              <w:t>6 years +</w:t>
            </w:r>
          </w:p>
        </w:tc>
      </w:tr>
      <w:tr w:rsidR="00680D86" w14:paraId="2B9973B7" w14:textId="77777777">
        <w:tc>
          <w:tcPr>
            <w:tcW w:w="2050" w:type="pct"/>
            <w:vMerge/>
            <w:vAlign w:val="center"/>
          </w:tcPr>
          <w:p w14:paraId="51FE0B1C" w14:textId="77777777" w:rsidR="00680D86" w:rsidRDefault="00680D86">
            <w:pPr>
              <w:rPr>
                <w:rFonts w:cs="Calibri"/>
                <w:szCs w:val="20"/>
              </w:rPr>
            </w:pPr>
          </w:p>
        </w:tc>
        <w:tc>
          <w:tcPr>
            <w:tcW w:w="2020" w:type="pct"/>
            <w:vAlign w:val="center"/>
          </w:tcPr>
          <w:p w14:paraId="19FD07F1" w14:textId="77777777" w:rsidR="00680D86" w:rsidRDefault="00B359A4">
            <w:pPr>
              <w:jc w:val="left"/>
              <w:rPr>
                <w:rFonts w:cs="Calibri"/>
                <w:szCs w:val="20"/>
              </w:rPr>
            </w:pPr>
            <w:r>
              <w:rPr>
                <w:szCs w:val="20"/>
              </w:rPr>
              <w:t>Actual Historic Return based on sector average</w:t>
            </w:r>
          </w:p>
        </w:tc>
        <w:tc>
          <w:tcPr>
            <w:tcW w:w="930" w:type="pct"/>
            <w:vAlign w:val="center"/>
          </w:tcPr>
          <w:p w14:paraId="1B266911" w14:textId="77777777" w:rsidR="00680D86" w:rsidRDefault="00B359A4">
            <w:pPr>
              <w:jc w:val="left"/>
              <w:rPr>
                <w:rFonts w:cs="Calibri"/>
                <w:szCs w:val="20"/>
              </w:rPr>
            </w:pPr>
            <w:r>
              <w:rPr>
                <w:rFonts w:cs="Calibri"/>
                <w:szCs w:val="20"/>
              </w:rPr>
              <w:t>5.62%</w:t>
            </w:r>
          </w:p>
        </w:tc>
      </w:tr>
      <w:tr w:rsidR="00680D86" w14:paraId="34B7C535" w14:textId="77777777">
        <w:tc>
          <w:tcPr>
            <w:tcW w:w="2050" w:type="pct"/>
            <w:vMerge/>
            <w:vAlign w:val="center"/>
          </w:tcPr>
          <w:p w14:paraId="38F8F259" w14:textId="77777777" w:rsidR="00680D86" w:rsidRDefault="00680D86">
            <w:pPr>
              <w:rPr>
                <w:rFonts w:cs="Calibri"/>
                <w:szCs w:val="20"/>
              </w:rPr>
            </w:pPr>
          </w:p>
        </w:tc>
        <w:tc>
          <w:tcPr>
            <w:tcW w:w="2020" w:type="pct"/>
            <w:vAlign w:val="center"/>
          </w:tcPr>
          <w:p w14:paraId="41760305" w14:textId="77777777" w:rsidR="00680D86" w:rsidRDefault="00B359A4">
            <w:pPr>
              <w:jc w:val="left"/>
              <w:rPr>
                <w:rFonts w:cs="Calibri"/>
                <w:szCs w:val="20"/>
              </w:rPr>
            </w:pPr>
            <w:r>
              <w:rPr>
                <w:szCs w:val="20"/>
              </w:rPr>
              <w:t>Possible Target Return</w:t>
            </w:r>
          </w:p>
        </w:tc>
        <w:tc>
          <w:tcPr>
            <w:tcW w:w="930" w:type="pct"/>
            <w:vAlign w:val="center"/>
          </w:tcPr>
          <w:p w14:paraId="675EA39E" w14:textId="77777777" w:rsidR="00680D86" w:rsidRDefault="00B359A4">
            <w:pPr>
              <w:jc w:val="left"/>
              <w:rPr>
                <w:rFonts w:cs="Calibri"/>
                <w:szCs w:val="20"/>
              </w:rPr>
            </w:pPr>
            <w:r>
              <w:rPr>
                <w:rFonts w:cs="Calibri"/>
                <w:szCs w:val="20"/>
              </w:rPr>
              <w:t>7.00%</w:t>
            </w:r>
          </w:p>
        </w:tc>
      </w:tr>
    </w:tbl>
    <w:p w14:paraId="09154FCF" w14:textId="77777777" w:rsidR="00680D86" w:rsidRDefault="00B359A4">
      <w:pPr>
        <w:pStyle w:val="Heading2"/>
      </w:pPr>
      <w:r>
        <w:rPr>
          <w:highlight w:val="lightGray"/>
        </w:rPr>
        <w:br w:type="page"/>
      </w:r>
      <w:bookmarkStart w:id="17" w:name="_Toc295207645"/>
      <w:bookmarkStart w:id="18" w:name="_Toc295208089"/>
      <w:r>
        <w:lastRenderedPageBreak/>
        <w:t>Financial Ratios</w:t>
      </w:r>
      <w:bookmarkEnd w:id="17"/>
      <w:bookmarkEnd w:id="18"/>
    </w:p>
    <w:p w14:paraId="11A36B9A" w14:textId="77777777" w:rsidR="00680D86" w:rsidRDefault="00680D86"/>
    <w:p w14:paraId="4563BDA6" w14:textId="77777777" w:rsidR="00680D86" w:rsidRDefault="00680D86">
      <w:bookmarkStart w:id="19" w:name="RiskLevelTable"/>
    </w:p>
    <w:tbl>
      <w:tblPr>
        <w:tblW w:w="93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0A0" w:firstRow="1" w:lastRow="0" w:firstColumn="1" w:lastColumn="0" w:noHBand="0" w:noVBand="0"/>
      </w:tblPr>
      <w:tblGrid>
        <w:gridCol w:w="567"/>
        <w:gridCol w:w="1701"/>
        <w:gridCol w:w="1418"/>
        <w:gridCol w:w="1559"/>
        <w:gridCol w:w="992"/>
        <w:gridCol w:w="1276"/>
        <w:gridCol w:w="1843"/>
      </w:tblGrid>
      <w:tr w:rsidR="00680D86" w14:paraId="32C82DC7" w14:textId="77777777">
        <w:trPr>
          <w:trHeight w:val="76"/>
        </w:trPr>
        <w:tc>
          <w:tcPr>
            <w:tcW w:w="9356" w:type="dxa"/>
            <w:gridSpan w:val="7"/>
            <w:tcBorders>
              <w:bottom w:val="single" w:sz="4" w:space="0" w:color="000000"/>
            </w:tcBorders>
            <w:shd w:val="clear" w:color="auto" w:fill="A6A6A6"/>
          </w:tcPr>
          <w:p w14:paraId="1E6F66D1" w14:textId="77777777" w:rsidR="00680D86" w:rsidRDefault="00B359A4">
            <w:pPr>
              <w:rPr>
                <w:rFonts w:cs="Calibri"/>
                <w:b/>
                <w:szCs w:val="20"/>
              </w:rPr>
            </w:pPr>
            <w:r>
              <w:rPr>
                <w:rFonts w:cs="Calibri"/>
                <w:b/>
                <w:szCs w:val="20"/>
              </w:rPr>
              <w:t>Example Facts and Figures for a £10,000.00 investment for risk levels 1-10</w:t>
            </w:r>
          </w:p>
        </w:tc>
      </w:tr>
      <w:tr w:rsidR="00680D86" w14:paraId="5CCD2377" w14:textId="77777777">
        <w:trPr>
          <w:trHeight w:val="637"/>
        </w:trPr>
        <w:tc>
          <w:tcPr>
            <w:tcW w:w="567" w:type="dxa"/>
            <w:shd w:val="clear" w:color="auto" w:fill="D9D9D9"/>
          </w:tcPr>
          <w:p w14:paraId="4490FA91" w14:textId="77777777" w:rsidR="00680D86" w:rsidRDefault="00B359A4">
            <w:pPr>
              <w:jc w:val="center"/>
              <w:rPr>
                <w:rFonts w:cs="Calibri"/>
                <w:b/>
                <w:szCs w:val="20"/>
              </w:rPr>
            </w:pPr>
            <w:r>
              <w:rPr>
                <w:rFonts w:cs="Calibri"/>
                <w:b/>
                <w:szCs w:val="20"/>
              </w:rPr>
              <w:t>Risk</w:t>
            </w:r>
          </w:p>
          <w:p w14:paraId="08E96D43" w14:textId="77777777" w:rsidR="00680D86" w:rsidRDefault="00B359A4">
            <w:pPr>
              <w:jc w:val="center"/>
              <w:rPr>
                <w:rFonts w:cs="Calibri"/>
                <w:b/>
                <w:szCs w:val="20"/>
              </w:rPr>
            </w:pPr>
            <w:r>
              <w:rPr>
                <w:rFonts w:cs="Calibri"/>
                <w:b/>
                <w:szCs w:val="20"/>
              </w:rPr>
              <w:t>Level</w:t>
            </w:r>
          </w:p>
        </w:tc>
        <w:tc>
          <w:tcPr>
            <w:tcW w:w="1701" w:type="dxa"/>
            <w:shd w:val="clear" w:color="auto" w:fill="D9D9D9"/>
          </w:tcPr>
          <w:p w14:paraId="7E115BFB" w14:textId="77777777" w:rsidR="00680D86" w:rsidRDefault="00B359A4">
            <w:pPr>
              <w:jc w:val="center"/>
              <w:rPr>
                <w:b/>
                <w:szCs w:val="20"/>
              </w:rPr>
            </w:pPr>
            <w:r>
              <w:rPr>
                <w:b/>
                <w:szCs w:val="20"/>
              </w:rPr>
              <w:t>Example</w:t>
            </w:r>
          </w:p>
          <w:p w14:paraId="7B02B8AC" w14:textId="77777777" w:rsidR="00680D86" w:rsidRDefault="00B359A4">
            <w:pPr>
              <w:jc w:val="center"/>
              <w:rPr>
                <w:rFonts w:cs="Calibri"/>
                <w:b/>
                <w:szCs w:val="20"/>
              </w:rPr>
            </w:pPr>
            <w:r>
              <w:rPr>
                <w:b/>
                <w:szCs w:val="20"/>
              </w:rPr>
              <w:t>Volatility</w:t>
            </w:r>
          </w:p>
        </w:tc>
        <w:tc>
          <w:tcPr>
            <w:tcW w:w="1418" w:type="dxa"/>
            <w:shd w:val="clear" w:color="auto" w:fill="D9D9D9"/>
          </w:tcPr>
          <w:p w14:paraId="32738E81" w14:textId="77777777" w:rsidR="00680D86" w:rsidRDefault="00B359A4">
            <w:pPr>
              <w:jc w:val="center"/>
              <w:rPr>
                <w:rFonts w:cs="Calibri"/>
                <w:b/>
                <w:szCs w:val="20"/>
              </w:rPr>
            </w:pPr>
            <w:r>
              <w:rPr>
                <w:rFonts w:cs="Calibri"/>
                <w:b/>
                <w:szCs w:val="20"/>
              </w:rPr>
              <w:t>Potential loss over 1 year</w:t>
            </w:r>
          </w:p>
        </w:tc>
        <w:tc>
          <w:tcPr>
            <w:tcW w:w="1559" w:type="dxa"/>
            <w:shd w:val="clear" w:color="auto" w:fill="D9D9D9"/>
          </w:tcPr>
          <w:p w14:paraId="162EB39F" w14:textId="77777777" w:rsidR="00680D86" w:rsidRDefault="00B359A4">
            <w:pPr>
              <w:jc w:val="center"/>
              <w:rPr>
                <w:rFonts w:cs="Calibri"/>
                <w:b/>
                <w:szCs w:val="20"/>
              </w:rPr>
            </w:pPr>
            <w:r>
              <w:rPr>
                <w:rFonts w:cs="Calibri"/>
                <w:b/>
                <w:szCs w:val="20"/>
              </w:rPr>
              <w:t>Potential</w:t>
            </w:r>
            <w:r>
              <w:rPr>
                <w:rFonts w:cs="Calibri"/>
                <w:b/>
                <w:szCs w:val="20"/>
              </w:rPr>
              <w:t xml:space="preserve"> gain over 1 year</w:t>
            </w:r>
          </w:p>
        </w:tc>
        <w:tc>
          <w:tcPr>
            <w:tcW w:w="992" w:type="dxa"/>
            <w:shd w:val="clear" w:color="auto" w:fill="D9D9D9"/>
          </w:tcPr>
          <w:p w14:paraId="18AD9C8D" w14:textId="77777777" w:rsidR="00680D86" w:rsidRDefault="00B359A4">
            <w:pPr>
              <w:jc w:val="center"/>
              <w:rPr>
                <w:b/>
                <w:szCs w:val="20"/>
              </w:rPr>
            </w:pPr>
            <w:r>
              <w:rPr>
                <w:b/>
                <w:szCs w:val="20"/>
              </w:rPr>
              <w:t>Example</w:t>
            </w:r>
          </w:p>
          <w:p w14:paraId="575B9321" w14:textId="77777777" w:rsidR="00680D86" w:rsidRDefault="00B359A4">
            <w:pPr>
              <w:jc w:val="center"/>
              <w:rPr>
                <w:b/>
                <w:szCs w:val="20"/>
              </w:rPr>
            </w:pPr>
            <w:r>
              <w:rPr>
                <w:b/>
                <w:szCs w:val="20"/>
              </w:rPr>
              <w:t>Target</w:t>
            </w:r>
          </w:p>
          <w:p w14:paraId="6F2844E2" w14:textId="77777777" w:rsidR="00680D86" w:rsidRDefault="00B359A4">
            <w:pPr>
              <w:jc w:val="center"/>
              <w:rPr>
                <w:b/>
                <w:szCs w:val="20"/>
              </w:rPr>
            </w:pPr>
            <w:r>
              <w:rPr>
                <w:b/>
                <w:szCs w:val="20"/>
              </w:rPr>
              <w:t>Return</w:t>
            </w:r>
          </w:p>
        </w:tc>
        <w:tc>
          <w:tcPr>
            <w:tcW w:w="1276" w:type="dxa"/>
            <w:shd w:val="clear" w:color="auto" w:fill="D9D9D9"/>
          </w:tcPr>
          <w:p w14:paraId="76E78184" w14:textId="77777777" w:rsidR="00680D86" w:rsidRDefault="00B359A4">
            <w:pPr>
              <w:jc w:val="center"/>
              <w:rPr>
                <w:b/>
                <w:szCs w:val="20"/>
              </w:rPr>
            </w:pPr>
            <w:r>
              <w:rPr>
                <w:b/>
                <w:szCs w:val="20"/>
              </w:rPr>
              <w:t>Potential</w:t>
            </w:r>
          </w:p>
          <w:p w14:paraId="2A60A90E" w14:textId="77777777" w:rsidR="00680D86" w:rsidRDefault="00B359A4">
            <w:pPr>
              <w:jc w:val="center"/>
              <w:rPr>
                <w:rFonts w:cs="Calibri"/>
                <w:b/>
                <w:szCs w:val="20"/>
              </w:rPr>
            </w:pPr>
            <w:r>
              <w:rPr>
                <w:b/>
                <w:szCs w:val="20"/>
              </w:rPr>
              <w:t>Time Horizon</w:t>
            </w:r>
          </w:p>
        </w:tc>
        <w:tc>
          <w:tcPr>
            <w:tcW w:w="1843" w:type="dxa"/>
            <w:shd w:val="clear" w:color="auto" w:fill="D9D9D9"/>
          </w:tcPr>
          <w:p w14:paraId="59423A8D" w14:textId="77777777" w:rsidR="00680D86" w:rsidRDefault="00B359A4">
            <w:pPr>
              <w:jc w:val="center"/>
              <w:rPr>
                <w:rFonts w:cs="Calibri"/>
                <w:b/>
                <w:szCs w:val="20"/>
              </w:rPr>
            </w:pPr>
            <w:r>
              <w:rPr>
                <w:rFonts w:cs="Calibri"/>
                <w:b/>
                <w:szCs w:val="20"/>
              </w:rPr>
              <w:t>Risk description</w:t>
            </w:r>
          </w:p>
        </w:tc>
      </w:tr>
      <w:tr w:rsidR="00680D86" w14:paraId="43B6B868" w14:textId="77777777">
        <w:tc>
          <w:tcPr>
            <w:tcW w:w="567" w:type="dxa"/>
          </w:tcPr>
          <w:p w14:paraId="44D669D1" w14:textId="77777777" w:rsidR="00680D86" w:rsidRDefault="00B359A4">
            <w:pPr>
              <w:jc w:val="center"/>
              <w:rPr>
                <w:rFonts w:cs="Calibri"/>
                <w:szCs w:val="20"/>
              </w:rPr>
            </w:pPr>
            <w:r>
              <w:rPr>
                <w:rFonts w:cs="Calibri"/>
                <w:szCs w:val="20"/>
              </w:rPr>
              <w:t>1</w:t>
            </w:r>
          </w:p>
        </w:tc>
        <w:tc>
          <w:tcPr>
            <w:tcW w:w="1701" w:type="dxa"/>
          </w:tcPr>
          <w:p w14:paraId="70A64BBE" w14:textId="77777777" w:rsidR="00680D86" w:rsidRDefault="00B359A4">
            <w:pPr>
              <w:jc w:val="center"/>
              <w:rPr>
                <w:rFonts w:cs="Calibri"/>
                <w:szCs w:val="20"/>
              </w:rPr>
            </w:pPr>
            <w:r>
              <w:rPr>
                <w:rFonts w:cs="Calibri"/>
                <w:szCs w:val="20"/>
              </w:rPr>
              <w:t>0.00% - 3.00%</w:t>
            </w:r>
          </w:p>
        </w:tc>
        <w:tc>
          <w:tcPr>
            <w:tcW w:w="1418" w:type="dxa"/>
          </w:tcPr>
          <w:p w14:paraId="36B4A98A" w14:textId="77777777" w:rsidR="00680D86" w:rsidRDefault="00B359A4">
            <w:pPr>
              <w:jc w:val="center"/>
              <w:rPr>
                <w:rFonts w:cs="Calibri"/>
                <w:color w:val="FF0000"/>
                <w:szCs w:val="20"/>
              </w:rPr>
            </w:pPr>
            <w:r>
              <w:rPr>
                <w:rFonts w:cs="Calibri"/>
                <w:color w:val="FF0000"/>
                <w:szCs w:val="20"/>
              </w:rPr>
              <w:t>£15.00</w:t>
            </w:r>
          </w:p>
        </w:tc>
        <w:tc>
          <w:tcPr>
            <w:tcW w:w="1559" w:type="dxa"/>
          </w:tcPr>
          <w:p w14:paraId="4BD8F42A" w14:textId="77777777" w:rsidR="00680D86" w:rsidRDefault="00B359A4">
            <w:pPr>
              <w:jc w:val="center"/>
              <w:rPr>
                <w:rFonts w:cs="Calibri"/>
                <w:color w:val="008000"/>
                <w:szCs w:val="20"/>
              </w:rPr>
            </w:pPr>
            <w:r>
              <w:rPr>
                <w:rFonts w:cs="Calibri"/>
                <w:color w:val="008000"/>
                <w:szCs w:val="20"/>
              </w:rPr>
              <w:t>£451.00</w:t>
            </w:r>
          </w:p>
        </w:tc>
        <w:tc>
          <w:tcPr>
            <w:tcW w:w="992" w:type="dxa"/>
          </w:tcPr>
          <w:p w14:paraId="5D1BD1B6" w14:textId="77777777" w:rsidR="00680D86" w:rsidRDefault="00B359A4">
            <w:pPr>
              <w:jc w:val="center"/>
              <w:rPr>
                <w:rFonts w:cs="Calibri"/>
                <w:szCs w:val="20"/>
              </w:rPr>
            </w:pPr>
            <w:r>
              <w:rPr>
                <w:rFonts w:cs="Calibri"/>
                <w:szCs w:val="20"/>
              </w:rPr>
              <w:t>4.00%</w:t>
            </w:r>
          </w:p>
        </w:tc>
        <w:tc>
          <w:tcPr>
            <w:tcW w:w="1276" w:type="dxa"/>
          </w:tcPr>
          <w:p w14:paraId="0F4926E2" w14:textId="77777777" w:rsidR="00680D86" w:rsidRDefault="00B359A4">
            <w:pPr>
              <w:jc w:val="center"/>
              <w:rPr>
                <w:rFonts w:cs="Calibri"/>
                <w:szCs w:val="20"/>
              </w:rPr>
            </w:pPr>
            <w:r>
              <w:rPr>
                <w:rFonts w:cs="Calibri"/>
                <w:szCs w:val="20"/>
              </w:rPr>
              <w:t>None</w:t>
            </w:r>
          </w:p>
        </w:tc>
        <w:tc>
          <w:tcPr>
            <w:tcW w:w="1843" w:type="dxa"/>
          </w:tcPr>
          <w:p w14:paraId="046577EF" w14:textId="77777777" w:rsidR="00680D86" w:rsidRDefault="00B359A4">
            <w:pPr>
              <w:jc w:val="center"/>
              <w:rPr>
                <w:rFonts w:cs="Calibri"/>
                <w:szCs w:val="20"/>
              </w:rPr>
            </w:pPr>
            <w:r>
              <w:rPr>
                <w:rFonts w:cs="Calibri"/>
                <w:szCs w:val="20"/>
              </w:rPr>
              <w:t>Very Low</w:t>
            </w:r>
          </w:p>
        </w:tc>
      </w:tr>
      <w:tr w:rsidR="00680D86" w14:paraId="48C47673" w14:textId="77777777">
        <w:tc>
          <w:tcPr>
            <w:tcW w:w="567" w:type="dxa"/>
          </w:tcPr>
          <w:p w14:paraId="53CD4A8B" w14:textId="77777777" w:rsidR="00680D86" w:rsidRDefault="00B359A4">
            <w:pPr>
              <w:jc w:val="center"/>
              <w:rPr>
                <w:rFonts w:cs="Calibri"/>
                <w:szCs w:val="20"/>
              </w:rPr>
            </w:pPr>
            <w:r>
              <w:rPr>
                <w:rFonts w:cs="Calibri"/>
                <w:szCs w:val="20"/>
              </w:rPr>
              <w:t>2</w:t>
            </w:r>
          </w:p>
        </w:tc>
        <w:tc>
          <w:tcPr>
            <w:tcW w:w="1701" w:type="dxa"/>
          </w:tcPr>
          <w:p w14:paraId="05B18B65" w14:textId="77777777" w:rsidR="00680D86" w:rsidRDefault="00B359A4">
            <w:pPr>
              <w:jc w:val="center"/>
              <w:rPr>
                <w:rFonts w:cs="Calibri"/>
                <w:szCs w:val="20"/>
              </w:rPr>
            </w:pPr>
            <w:r>
              <w:rPr>
                <w:rFonts w:cs="Calibri"/>
                <w:szCs w:val="20"/>
              </w:rPr>
              <w:t>3.00% - 6.00%</w:t>
            </w:r>
          </w:p>
        </w:tc>
        <w:tc>
          <w:tcPr>
            <w:tcW w:w="1418" w:type="dxa"/>
          </w:tcPr>
          <w:p w14:paraId="073D4D74" w14:textId="77777777" w:rsidR="00680D86" w:rsidRDefault="00B359A4">
            <w:pPr>
              <w:jc w:val="center"/>
              <w:rPr>
                <w:rFonts w:cs="Calibri"/>
                <w:color w:val="FF0000"/>
                <w:szCs w:val="20"/>
              </w:rPr>
            </w:pPr>
            <w:r>
              <w:rPr>
                <w:rFonts w:cs="Calibri"/>
                <w:color w:val="FF0000"/>
                <w:szCs w:val="20"/>
              </w:rPr>
              <w:t>£1,013.00</w:t>
            </w:r>
          </w:p>
        </w:tc>
        <w:tc>
          <w:tcPr>
            <w:tcW w:w="1559" w:type="dxa"/>
          </w:tcPr>
          <w:p w14:paraId="55D1119D" w14:textId="77777777" w:rsidR="00680D86" w:rsidRDefault="00B359A4">
            <w:pPr>
              <w:jc w:val="center"/>
              <w:rPr>
                <w:rFonts w:cs="Calibri"/>
                <w:color w:val="008000"/>
                <w:szCs w:val="20"/>
              </w:rPr>
            </w:pPr>
            <w:r>
              <w:rPr>
                <w:rFonts w:cs="Calibri"/>
                <w:color w:val="008000"/>
                <w:szCs w:val="20"/>
              </w:rPr>
              <w:t>£873.00</w:t>
            </w:r>
          </w:p>
        </w:tc>
        <w:tc>
          <w:tcPr>
            <w:tcW w:w="992" w:type="dxa"/>
          </w:tcPr>
          <w:p w14:paraId="509D8FE6" w14:textId="77777777" w:rsidR="00680D86" w:rsidRDefault="00B359A4">
            <w:pPr>
              <w:jc w:val="center"/>
              <w:rPr>
                <w:rFonts w:cs="Calibri"/>
                <w:szCs w:val="20"/>
              </w:rPr>
            </w:pPr>
            <w:r>
              <w:rPr>
                <w:rFonts w:cs="Calibri"/>
                <w:szCs w:val="20"/>
              </w:rPr>
              <w:t>4.50%</w:t>
            </w:r>
          </w:p>
        </w:tc>
        <w:tc>
          <w:tcPr>
            <w:tcW w:w="1276" w:type="dxa"/>
          </w:tcPr>
          <w:p w14:paraId="47A6388E" w14:textId="77777777" w:rsidR="00680D86" w:rsidRDefault="00B359A4">
            <w:pPr>
              <w:jc w:val="center"/>
              <w:rPr>
                <w:rFonts w:cs="Calibri"/>
                <w:szCs w:val="20"/>
              </w:rPr>
            </w:pPr>
            <w:r>
              <w:rPr>
                <w:rFonts w:cs="Calibri"/>
                <w:szCs w:val="20"/>
              </w:rPr>
              <w:t>1 year +</w:t>
            </w:r>
          </w:p>
        </w:tc>
        <w:tc>
          <w:tcPr>
            <w:tcW w:w="1843" w:type="dxa"/>
          </w:tcPr>
          <w:p w14:paraId="4ED47CCC" w14:textId="77777777" w:rsidR="00680D86" w:rsidRDefault="00B359A4">
            <w:pPr>
              <w:jc w:val="center"/>
              <w:rPr>
                <w:rFonts w:cs="Calibri"/>
                <w:szCs w:val="20"/>
              </w:rPr>
            </w:pPr>
            <w:r>
              <w:rPr>
                <w:rFonts w:cs="Calibri"/>
                <w:szCs w:val="20"/>
              </w:rPr>
              <w:t>Low</w:t>
            </w:r>
          </w:p>
        </w:tc>
      </w:tr>
      <w:tr w:rsidR="00680D86" w14:paraId="3008484B" w14:textId="77777777">
        <w:tc>
          <w:tcPr>
            <w:tcW w:w="567" w:type="dxa"/>
          </w:tcPr>
          <w:p w14:paraId="3400F989" w14:textId="77777777" w:rsidR="00680D86" w:rsidRDefault="00B359A4">
            <w:pPr>
              <w:jc w:val="center"/>
              <w:rPr>
                <w:rFonts w:cs="Calibri"/>
                <w:szCs w:val="20"/>
              </w:rPr>
            </w:pPr>
            <w:r>
              <w:rPr>
                <w:rFonts w:cs="Calibri"/>
                <w:szCs w:val="20"/>
              </w:rPr>
              <w:t>3</w:t>
            </w:r>
          </w:p>
        </w:tc>
        <w:tc>
          <w:tcPr>
            <w:tcW w:w="1701" w:type="dxa"/>
          </w:tcPr>
          <w:p w14:paraId="2471DBDB" w14:textId="77777777" w:rsidR="00680D86" w:rsidRDefault="00B359A4">
            <w:pPr>
              <w:jc w:val="center"/>
              <w:rPr>
                <w:rFonts w:cs="Calibri"/>
                <w:szCs w:val="20"/>
              </w:rPr>
            </w:pPr>
            <w:r>
              <w:rPr>
                <w:rFonts w:cs="Calibri"/>
                <w:szCs w:val="20"/>
              </w:rPr>
              <w:t>6.00% - 8.00%</w:t>
            </w:r>
          </w:p>
        </w:tc>
        <w:tc>
          <w:tcPr>
            <w:tcW w:w="1418" w:type="dxa"/>
          </w:tcPr>
          <w:p w14:paraId="3F0C274B" w14:textId="77777777" w:rsidR="00680D86" w:rsidRDefault="00B359A4">
            <w:pPr>
              <w:jc w:val="center"/>
              <w:rPr>
                <w:rFonts w:cs="Calibri"/>
                <w:color w:val="FF0000"/>
                <w:szCs w:val="20"/>
              </w:rPr>
            </w:pPr>
            <w:r>
              <w:rPr>
                <w:rFonts w:cs="Calibri"/>
                <w:color w:val="FF0000"/>
                <w:szCs w:val="20"/>
              </w:rPr>
              <w:t>£1,395.00</w:t>
            </w:r>
          </w:p>
        </w:tc>
        <w:tc>
          <w:tcPr>
            <w:tcW w:w="1559" w:type="dxa"/>
          </w:tcPr>
          <w:p w14:paraId="504C2DB4" w14:textId="77777777" w:rsidR="00680D86" w:rsidRDefault="00B359A4">
            <w:pPr>
              <w:jc w:val="center"/>
              <w:rPr>
                <w:rFonts w:cs="Calibri"/>
                <w:color w:val="008000"/>
                <w:szCs w:val="20"/>
              </w:rPr>
            </w:pPr>
            <w:r>
              <w:rPr>
                <w:rFonts w:cs="Calibri"/>
                <w:color w:val="008000"/>
                <w:szCs w:val="20"/>
              </w:rPr>
              <w:t>£1,426.00</w:t>
            </w:r>
          </w:p>
        </w:tc>
        <w:tc>
          <w:tcPr>
            <w:tcW w:w="992" w:type="dxa"/>
          </w:tcPr>
          <w:p w14:paraId="15823AD8" w14:textId="77777777" w:rsidR="00680D86" w:rsidRDefault="00B359A4">
            <w:pPr>
              <w:jc w:val="center"/>
              <w:rPr>
                <w:rFonts w:cs="Calibri"/>
                <w:szCs w:val="20"/>
              </w:rPr>
            </w:pPr>
            <w:r>
              <w:rPr>
                <w:rFonts w:cs="Calibri"/>
                <w:szCs w:val="20"/>
              </w:rPr>
              <w:t>5.50%</w:t>
            </w:r>
          </w:p>
        </w:tc>
        <w:tc>
          <w:tcPr>
            <w:tcW w:w="1276" w:type="dxa"/>
          </w:tcPr>
          <w:p w14:paraId="40182BE3" w14:textId="77777777" w:rsidR="00680D86" w:rsidRDefault="00B359A4">
            <w:pPr>
              <w:jc w:val="center"/>
              <w:rPr>
                <w:rFonts w:cs="Calibri"/>
                <w:szCs w:val="20"/>
              </w:rPr>
            </w:pPr>
            <w:r>
              <w:rPr>
                <w:rFonts w:cs="Calibri"/>
                <w:szCs w:val="20"/>
              </w:rPr>
              <w:t>3 years +</w:t>
            </w:r>
          </w:p>
        </w:tc>
        <w:tc>
          <w:tcPr>
            <w:tcW w:w="1843" w:type="dxa"/>
          </w:tcPr>
          <w:p w14:paraId="7A587EE0" w14:textId="77777777" w:rsidR="00680D86" w:rsidRDefault="00B359A4">
            <w:pPr>
              <w:jc w:val="center"/>
              <w:rPr>
                <w:rFonts w:cs="Calibri"/>
                <w:szCs w:val="20"/>
              </w:rPr>
            </w:pPr>
            <w:r>
              <w:rPr>
                <w:rFonts w:cs="Calibri"/>
                <w:szCs w:val="20"/>
              </w:rPr>
              <w:t>Low Medium</w:t>
            </w:r>
          </w:p>
        </w:tc>
      </w:tr>
      <w:tr w:rsidR="00680D86" w14:paraId="6CAB46AB" w14:textId="77777777">
        <w:tc>
          <w:tcPr>
            <w:tcW w:w="567" w:type="dxa"/>
          </w:tcPr>
          <w:p w14:paraId="48CA34E5" w14:textId="77777777" w:rsidR="00680D86" w:rsidRDefault="00B359A4">
            <w:pPr>
              <w:jc w:val="center"/>
              <w:rPr>
                <w:rFonts w:cs="Calibri"/>
                <w:szCs w:val="20"/>
              </w:rPr>
            </w:pPr>
            <w:r>
              <w:rPr>
                <w:rFonts w:cs="Calibri"/>
                <w:szCs w:val="20"/>
              </w:rPr>
              <w:t>4</w:t>
            </w:r>
          </w:p>
        </w:tc>
        <w:tc>
          <w:tcPr>
            <w:tcW w:w="1701" w:type="dxa"/>
          </w:tcPr>
          <w:p w14:paraId="105C1241" w14:textId="77777777" w:rsidR="00680D86" w:rsidRDefault="00B359A4">
            <w:pPr>
              <w:jc w:val="center"/>
              <w:rPr>
                <w:rFonts w:cs="Calibri"/>
                <w:szCs w:val="20"/>
              </w:rPr>
            </w:pPr>
            <w:r>
              <w:rPr>
                <w:rFonts w:cs="Calibri"/>
                <w:szCs w:val="20"/>
              </w:rPr>
              <w:t>8.00% - 10.00%</w:t>
            </w:r>
          </w:p>
        </w:tc>
        <w:tc>
          <w:tcPr>
            <w:tcW w:w="1418" w:type="dxa"/>
          </w:tcPr>
          <w:p w14:paraId="37351205" w14:textId="77777777" w:rsidR="00680D86" w:rsidRDefault="00B359A4">
            <w:pPr>
              <w:jc w:val="center"/>
              <w:rPr>
                <w:rFonts w:cs="Calibri"/>
                <w:color w:val="FF0000"/>
                <w:szCs w:val="20"/>
              </w:rPr>
            </w:pPr>
            <w:r>
              <w:rPr>
                <w:rFonts w:cs="Calibri"/>
                <w:color w:val="FF0000"/>
                <w:szCs w:val="20"/>
              </w:rPr>
              <w:t>£1,187.00</w:t>
            </w:r>
          </w:p>
        </w:tc>
        <w:tc>
          <w:tcPr>
            <w:tcW w:w="1559" w:type="dxa"/>
          </w:tcPr>
          <w:p w14:paraId="0A010B75" w14:textId="77777777" w:rsidR="00680D86" w:rsidRDefault="00B359A4">
            <w:pPr>
              <w:jc w:val="center"/>
              <w:rPr>
                <w:rFonts w:cs="Calibri"/>
                <w:color w:val="008000"/>
                <w:szCs w:val="20"/>
              </w:rPr>
            </w:pPr>
            <w:r>
              <w:rPr>
                <w:rFonts w:cs="Calibri"/>
                <w:color w:val="008000"/>
                <w:szCs w:val="20"/>
              </w:rPr>
              <w:t>£1,588.00</w:t>
            </w:r>
          </w:p>
        </w:tc>
        <w:tc>
          <w:tcPr>
            <w:tcW w:w="992" w:type="dxa"/>
          </w:tcPr>
          <w:p w14:paraId="65213F79" w14:textId="77777777" w:rsidR="00680D86" w:rsidRDefault="00B359A4">
            <w:pPr>
              <w:jc w:val="center"/>
              <w:rPr>
                <w:rFonts w:cs="Calibri"/>
                <w:szCs w:val="20"/>
              </w:rPr>
            </w:pPr>
            <w:r>
              <w:rPr>
                <w:rFonts w:cs="Calibri"/>
                <w:szCs w:val="20"/>
              </w:rPr>
              <w:t>6.00%</w:t>
            </w:r>
          </w:p>
        </w:tc>
        <w:tc>
          <w:tcPr>
            <w:tcW w:w="1276" w:type="dxa"/>
          </w:tcPr>
          <w:p w14:paraId="478CF919" w14:textId="77777777" w:rsidR="00680D86" w:rsidRDefault="00B359A4">
            <w:pPr>
              <w:jc w:val="center"/>
              <w:rPr>
                <w:rFonts w:cs="Calibri"/>
                <w:szCs w:val="20"/>
              </w:rPr>
            </w:pPr>
            <w:r>
              <w:rPr>
                <w:rFonts w:cs="Calibri"/>
                <w:szCs w:val="20"/>
              </w:rPr>
              <w:t>5 years +</w:t>
            </w:r>
          </w:p>
        </w:tc>
        <w:tc>
          <w:tcPr>
            <w:tcW w:w="1843" w:type="dxa"/>
          </w:tcPr>
          <w:p w14:paraId="063CFC64" w14:textId="77777777" w:rsidR="00680D86" w:rsidRDefault="00B359A4">
            <w:pPr>
              <w:jc w:val="center"/>
              <w:rPr>
                <w:rFonts w:cs="Calibri"/>
                <w:szCs w:val="20"/>
              </w:rPr>
            </w:pPr>
            <w:r>
              <w:rPr>
                <w:rFonts w:cs="Calibri"/>
                <w:szCs w:val="20"/>
              </w:rPr>
              <w:t>Low Medium</w:t>
            </w:r>
          </w:p>
        </w:tc>
      </w:tr>
      <w:tr w:rsidR="00680D86" w14:paraId="3764601A" w14:textId="77777777">
        <w:tc>
          <w:tcPr>
            <w:tcW w:w="567" w:type="dxa"/>
          </w:tcPr>
          <w:p w14:paraId="01C2ECC2" w14:textId="77777777" w:rsidR="00680D86" w:rsidRDefault="00B359A4">
            <w:pPr>
              <w:jc w:val="center"/>
              <w:rPr>
                <w:rFonts w:cs="Calibri"/>
                <w:szCs w:val="20"/>
              </w:rPr>
            </w:pPr>
            <w:r>
              <w:rPr>
                <w:rFonts w:cs="Calibri"/>
                <w:szCs w:val="20"/>
              </w:rPr>
              <w:t>5</w:t>
            </w:r>
          </w:p>
        </w:tc>
        <w:tc>
          <w:tcPr>
            <w:tcW w:w="1701" w:type="dxa"/>
          </w:tcPr>
          <w:p w14:paraId="2E0191D7" w14:textId="77777777" w:rsidR="00680D86" w:rsidRDefault="00B359A4">
            <w:pPr>
              <w:jc w:val="center"/>
              <w:rPr>
                <w:rFonts w:cs="Calibri"/>
                <w:szCs w:val="20"/>
              </w:rPr>
            </w:pPr>
            <w:r>
              <w:rPr>
                <w:rFonts w:cs="Calibri"/>
                <w:szCs w:val="20"/>
              </w:rPr>
              <w:t>10.00% - 12.00%</w:t>
            </w:r>
          </w:p>
        </w:tc>
        <w:tc>
          <w:tcPr>
            <w:tcW w:w="1418" w:type="dxa"/>
          </w:tcPr>
          <w:p w14:paraId="0D44A3E7" w14:textId="77777777" w:rsidR="00680D86" w:rsidRDefault="00B359A4">
            <w:pPr>
              <w:jc w:val="center"/>
              <w:rPr>
                <w:rFonts w:cs="Calibri"/>
                <w:color w:val="FF0000"/>
                <w:szCs w:val="20"/>
              </w:rPr>
            </w:pPr>
            <w:r>
              <w:rPr>
                <w:rFonts w:cs="Calibri"/>
                <w:color w:val="FF0000"/>
                <w:szCs w:val="20"/>
              </w:rPr>
              <w:t>£1,453.00</w:t>
            </w:r>
          </w:p>
        </w:tc>
        <w:tc>
          <w:tcPr>
            <w:tcW w:w="1559" w:type="dxa"/>
          </w:tcPr>
          <w:p w14:paraId="1D508147" w14:textId="77777777" w:rsidR="00680D86" w:rsidRDefault="00B359A4">
            <w:pPr>
              <w:jc w:val="center"/>
              <w:rPr>
                <w:rFonts w:cs="Calibri"/>
                <w:color w:val="008000"/>
                <w:szCs w:val="20"/>
              </w:rPr>
            </w:pPr>
            <w:r>
              <w:rPr>
                <w:rFonts w:cs="Calibri"/>
                <w:color w:val="008000"/>
                <w:szCs w:val="20"/>
              </w:rPr>
              <w:t>£1,846.00</w:t>
            </w:r>
          </w:p>
        </w:tc>
        <w:tc>
          <w:tcPr>
            <w:tcW w:w="992" w:type="dxa"/>
          </w:tcPr>
          <w:p w14:paraId="347C48A6" w14:textId="77777777" w:rsidR="00680D86" w:rsidRDefault="00B359A4">
            <w:pPr>
              <w:jc w:val="center"/>
              <w:rPr>
                <w:rFonts w:cs="Calibri"/>
                <w:szCs w:val="20"/>
              </w:rPr>
            </w:pPr>
            <w:r>
              <w:rPr>
                <w:rFonts w:cs="Calibri"/>
                <w:szCs w:val="20"/>
              </w:rPr>
              <w:t>7.00%</w:t>
            </w:r>
          </w:p>
        </w:tc>
        <w:tc>
          <w:tcPr>
            <w:tcW w:w="1276" w:type="dxa"/>
          </w:tcPr>
          <w:p w14:paraId="1EFBE990" w14:textId="77777777" w:rsidR="00680D86" w:rsidRDefault="00B359A4">
            <w:pPr>
              <w:jc w:val="center"/>
              <w:rPr>
                <w:rFonts w:cs="Calibri"/>
                <w:szCs w:val="20"/>
              </w:rPr>
            </w:pPr>
            <w:r>
              <w:rPr>
                <w:rFonts w:cs="Calibri"/>
                <w:szCs w:val="20"/>
              </w:rPr>
              <w:t>6 years +</w:t>
            </w:r>
          </w:p>
        </w:tc>
        <w:tc>
          <w:tcPr>
            <w:tcW w:w="1843" w:type="dxa"/>
          </w:tcPr>
          <w:p w14:paraId="413C0A4F" w14:textId="77777777" w:rsidR="00680D86" w:rsidRDefault="00B359A4">
            <w:pPr>
              <w:jc w:val="center"/>
              <w:rPr>
                <w:rFonts w:cs="Calibri"/>
                <w:szCs w:val="20"/>
              </w:rPr>
            </w:pPr>
            <w:r>
              <w:rPr>
                <w:rFonts w:cs="Calibri"/>
                <w:szCs w:val="20"/>
              </w:rPr>
              <w:t>Medium</w:t>
            </w:r>
          </w:p>
        </w:tc>
      </w:tr>
      <w:tr w:rsidR="00680D86" w14:paraId="79B600A8" w14:textId="77777777">
        <w:tc>
          <w:tcPr>
            <w:tcW w:w="567" w:type="dxa"/>
          </w:tcPr>
          <w:p w14:paraId="20C79266" w14:textId="77777777" w:rsidR="00680D86" w:rsidRDefault="00B359A4">
            <w:pPr>
              <w:jc w:val="center"/>
              <w:rPr>
                <w:rFonts w:cs="Calibri"/>
                <w:szCs w:val="20"/>
              </w:rPr>
            </w:pPr>
            <w:r>
              <w:rPr>
                <w:rFonts w:cs="Calibri"/>
                <w:szCs w:val="20"/>
              </w:rPr>
              <w:t>6</w:t>
            </w:r>
          </w:p>
        </w:tc>
        <w:tc>
          <w:tcPr>
            <w:tcW w:w="1701" w:type="dxa"/>
          </w:tcPr>
          <w:p w14:paraId="23481B70" w14:textId="77777777" w:rsidR="00680D86" w:rsidRDefault="00B359A4">
            <w:pPr>
              <w:jc w:val="center"/>
              <w:rPr>
                <w:rFonts w:cs="Calibri"/>
                <w:szCs w:val="20"/>
              </w:rPr>
            </w:pPr>
            <w:r>
              <w:rPr>
                <w:rFonts w:cs="Calibri"/>
                <w:szCs w:val="20"/>
              </w:rPr>
              <w:t>12.00% - 14.00%</w:t>
            </w:r>
          </w:p>
        </w:tc>
        <w:tc>
          <w:tcPr>
            <w:tcW w:w="1418" w:type="dxa"/>
          </w:tcPr>
          <w:p w14:paraId="20515D00" w14:textId="77777777" w:rsidR="00680D86" w:rsidRDefault="00B359A4">
            <w:pPr>
              <w:jc w:val="center"/>
              <w:rPr>
                <w:rFonts w:cs="Calibri"/>
                <w:color w:val="FF0000"/>
                <w:szCs w:val="20"/>
              </w:rPr>
            </w:pPr>
            <w:r>
              <w:rPr>
                <w:rFonts w:cs="Calibri"/>
                <w:color w:val="FF0000"/>
                <w:szCs w:val="20"/>
              </w:rPr>
              <w:t>£1,782.00</w:t>
            </w:r>
          </w:p>
        </w:tc>
        <w:tc>
          <w:tcPr>
            <w:tcW w:w="1559" w:type="dxa"/>
          </w:tcPr>
          <w:p w14:paraId="6C697D26" w14:textId="77777777" w:rsidR="00680D86" w:rsidRDefault="00B359A4">
            <w:pPr>
              <w:jc w:val="center"/>
              <w:rPr>
                <w:rFonts w:cs="Calibri"/>
                <w:color w:val="008000"/>
                <w:szCs w:val="20"/>
              </w:rPr>
            </w:pPr>
            <w:r>
              <w:rPr>
                <w:rFonts w:cs="Calibri"/>
                <w:color w:val="008000"/>
                <w:szCs w:val="20"/>
              </w:rPr>
              <w:t>£2,140.00</w:t>
            </w:r>
          </w:p>
        </w:tc>
        <w:tc>
          <w:tcPr>
            <w:tcW w:w="992" w:type="dxa"/>
          </w:tcPr>
          <w:p w14:paraId="25F304D5" w14:textId="77777777" w:rsidR="00680D86" w:rsidRDefault="00B359A4">
            <w:pPr>
              <w:jc w:val="center"/>
              <w:rPr>
                <w:rFonts w:cs="Calibri"/>
                <w:szCs w:val="20"/>
              </w:rPr>
            </w:pPr>
            <w:r>
              <w:rPr>
                <w:rFonts w:cs="Calibri"/>
                <w:szCs w:val="20"/>
              </w:rPr>
              <w:t>7.50%</w:t>
            </w:r>
          </w:p>
        </w:tc>
        <w:tc>
          <w:tcPr>
            <w:tcW w:w="1276" w:type="dxa"/>
          </w:tcPr>
          <w:p w14:paraId="770D13C0" w14:textId="77777777" w:rsidR="00680D86" w:rsidRDefault="00B359A4">
            <w:pPr>
              <w:jc w:val="center"/>
              <w:rPr>
                <w:rFonts w:cs="Calibri"/>
                <w:szCs w:val="20"/>
              </w:rPr>
            </w:pPr>
            <w:r>
              <w:rPr>
                <w:rFonts w:cs="Calibri"/>
                <w:szCs w:val="20"/>
              </w:rPr>
              <w:t>7 years +</w:t>
            </w:r>
          </w:p>
        </w:tc>
        <w:tc>
          <w:tcPr>
            <w:tcW w:w="1843" w:type="dxa"/>
          </w:tcPr>
          <w:p w14:paraId="4BBBABAE" w14:textId="77777777" w:rsidR="00680D86" w:rsidRDefault="00B359A4">
            <w:pPr>
              <w:jc w:val="center"/>
              <w:rPr>
                <w:rFonts w:cs="Calibri"/>
                <w:szCs w:val="20"/>
              </w:rPr>
            </w:pPr>
            <w:r>
              <w:rPr>
                <w:rFonts w:cs="Calibri"/>
                <w:szCs w:val="20"/>
              </w:rPr>
              <w:t>Medium</w:t>
            </w:r>
          </w:p>
        </w:tc>
      </w:tr>
      <w:tr w:rsidR="00680D86" w14:paraId="56395FA3" w14:textId="77777777">
        <w:tc>
          <w:tcPr>
            <w:tcW w:w="567" w:type="dxa"/>
          </w:tcPr>
          <w:p w14:paraId="5644340D" w14:textId="77777777" w:rsidR="00680D86" w:rsidRDefault="00B359A4">
            <w:pPr>
              <w:jc w:val="center"/>
              <w:rPr>
                <w:rFonts w:cs="Calibri"/>
                <w:szCs w:val="20"/>
              </w:rPr>
            </w:pPr>
            <w:r>
              <w:rPr>
                <w:rFonts w:cs="Calibri"/>
                <w:szCs w:val="20"/>
              </w:rPr>
              <w:t>7</w:t>
            </w:r>
          </w:p>
        </w:tc>
        <w:tc>
          <w:tcPr>
            <w:tcW w:w="1701" w:type="dxa"/>
          </w:tcPr>
          <w:p w14:paraId="118DBCDA" w14:textId="77777777" w:rsidR="00680D86" w:rsidRDefault="00B359A4">
            <w:pPr>
              <w:jc w:val="center"/>
              <w:rPr>
                <w:rFonts w:cs="Calibri"/>
                <w:szCs w:val="20"/>
              </w:rPr>
            </w:pPr>
            <w:r>
              <w:rPr>
                <w:rFonts w:cs="Calibri"/>
                <w:szCs w:val="20"/>
              </w:rPr>
              <w:t>14.00% - 16.00%</w:t>
            </w:r>
          </w:p>
        </w:tc>
        <w:tc>
          <w:tcPr>
            <w:tcW w:w="1418" w:type="dxa"/>
          </w:tcPr>
          <w:p w14:paraId="0592C0C7" w14:textId="77777777" w:rsidR="00680D86" w:rsidRDefault="00B359A4">
            <w:pPr>
              <w:jc w:val="center"/>
              <w:rPr>
                <w:rFonts w:cs="Calibri"/>
                <w:color w:val="FF0000"/>
                <w:szCs w:val="20"/>
              </w:rPr>
            </w:pPr>
            <w:r>
              <w:rPr>
                <w:rFonts w:cs="Calibri"/>
                <w:color w:val="FF0000"/>
                <w:szCs w:val="20"/>
              </w:rPr>
              <w:t>£1,788.00</w:t>
            </w:r>
          </w:p>
        </w:tc>
        <w:tc>
          <w:tcPr>
            <w:tcW w:w="1559" w:type="dxa"/>
          </w:tcPr>
          <w:p w14:paraId="69FA5401" w14:textId="77777777" w:rsidR="00680D86" w:rsidRDefault="00B359A4">
            <w:pPr>
              <w:jc w:val="center"/>
              <w:rPr>
                <w:rFonts w:cs="Calibri"/>
                <w:color w:val="008000"/>
                <w:szCs w:val="20"/>
              </w:rPr>
            </w:pPr>
            <w:r>
              <w:rPr>
                <w:rFonts w:cs="Calibri"/>
                <w:color w:val="008000"/>
                <w:szCs w:val="20"/>
              </w:rPr>
              <w:t>£2,298.00</w:t>
            </w:r>
          </w:p>
        </w:tc>
        <w:tc>
          <w:tcPr>
            <w:tcW w:w="992" w:type="dxa"/>
          </w:tcPr>
          <w:p w14:paraId="43758FAB" w14:textId="77777777" w:rsidR="00680D86" w:rsidRDefault="00B359A4">
            <w:pPr>
              <w:jc w:val="center"/>
              <w:rPr>
                <w:rFonts w:cs="Calibri"/>
                <w:szCs w:val="20"/>
              </w:rPr>
            </w:pPr>
            <w:r>
              <w:rPr>
                <w:rFonts w:cs="Calibri"/>
                <w:szCs w:val="20"/>
              </w:rPr>
              <w:t>8.00%</w:t>
            </w:r>
          </w:p>
        </w:tc>
        <w:tc>
          <w:tcPr>
            <w:tcW w:w="1276" w:type="dxa"/>
          </w:tcPr>
          <w:p w14:paraId="10155CC7" w14:textId="77777777" w:rsidR="00680D86" w:rsidRDefault="00B359A4">
            <w:pPr>
              <w:jc w:val="center"/>
              <w:rPr>
                <w:rFonts w:cs="Calibri"/>
                <w:szCs w:val="20"/>
              </w:rPr>
            </w:pPr>
            <w:r>
              <w:rPr>
                <w:rFonts w:cs="Calibri"/>
                <w:szCs w:val="20"/>
              </w:rPr>
              <w:t>8-10 years</w:t>
            </w:r>
          </w:p>
        </w:tc>
        <w:tc>
          <w:tcPr>
            <w:tcW w:w="1843" w:type="dxa"/>
          </w:tcPr>
          <w:p w14:paraId="1E9506FA" w14:textId="77777777" w:rsidR="00680D86" w:rsidRDefault="00B359A4">
            <w:pPr>
              <w:jc w:val="center"/>
              <w:rPr>
                <w:rFonts w:cs="Calibri"/>
                <w:szCs w:val="20"/>
              </w:rPr>
            </w:pPr>
            <w:r>
              <w:rPr>
                <w:rFonts w:cs="Calibri"/>
                <w:szCs w:val="20"/>
              </w:rPr>
              <w:t>Medium High</w:t>
            </w:r>
          </w:p>
        </w:tc>
      </w:tr>
      <w:tr w:rsidR="00680D86" w14:paraId="053138C8" w14:textId="77777777">
        <w:tc>
          <w:tcPr>
            <w:tcW w:w="567" w:type="dxa"/>
          </w:tcPr>
          <w:p w14:paraId="7216E09B" w14:textId="77777777" w:rsidR="00680D86" w:rsidRDefault="00B359A4">
            <w:pPr>
              <w:jc w:val="center"/>
              <w:rPr>
                <w:rFonts w:cs="Calibri"/>
                <w:szCs w:val="20"/>
              </w:rPr>
            </w:pPr>
            <w:r>
              <w:rPr>
                <w:rFonts w:cs="Calibri"/>
                <w:szCs w:val="20"/>
              </w:rPr>
              <w:t>8</w:t>
            </w:r>
          </w:p>
        </w:tc>
        <w:tc>
          <w:tcPr>
            <w:tcW w:w="1701" w:type="dxa"/>
          </w:tcPr>
          <w:p w14:paraId="72B385D4" w14:textId="77777777" w:rsidR="00680D86" w:rsidRDefault="00B359A4">
            <w:pPr>
              <w:jc w:val="center"/>
              <w:rPr>
                <w:rFonts w:cs="Calibri"/>
                <w:szCs w:val="20"/>
              </w:rPr>
            </w:pPr>
            <w:r>
              <w:rPr>
                <w:rFonts w:cs="Calibri"/>
                <w:szCs w:val="20"/>
              </w:rPr>
              <w:t>16.00% - 18.00%</w:t>
            </w:r>
          </w:p>
        </w:tc>
        <w:tc>
          <w:tcPr>
            <w:tcW w:w="1418" w:type="dxa"/>
          </w:tcPr>
          <w:p w14:paraId="6C220907" w14:textId="77777777" w:rsidR="00680D86" w:rsidRDefault="00B359A4">
            <w:pPr>
              <w:jc w:val="center"/>
              <w:rPr>
                <w:rFonts w:cs="Calibri"/>
                <w:color w:val="FF0000"/>
                <w:szCs w:val="20"/>
              </w:rPr>
            </w:pPr>
            <w:r>
              <w:rPr>
                <w:rFonts w:cs="Calibri"/>
                <w:color w:val="FF0000"/>
                <w:szCs w:val="20"/>
              </w:rPr>
              <w:t>£2,390.00</w:t>
            </w:r>
          </w:p>
        </w:tc>
        <w:tc>
          <w:tcPr>
            <w:tcW w:w="1559" w:type="dxa"/>
          </w:tcPr>
          <w:p w14:paraId="70C14AD9" w14:textId="77777777" w:rsidR="00680D86" w:rsidRDefault="00B359A4">
            <w:pPr>
              <w:jc w:val="center"/>
              <w:rPr>
                <w:rFonts w:cs="Calibri"/>
                <w:color w:val="008000"/>
                <w:szCs w:val="20"/>
              </w:rPr>
            </w:pPr>
            <w:r>
              <w:rPr>
                <w:rFonts w:cs="Calibri"/>
                <w:color w:val="008000"/>
                <w:szCs w:val="20"/>
              </w:rPr>
              <w:t>£2,715.00</w:t>
            </w:r>
          </w:p>
        </w:tc>
        <w:tc>
          <w:tcPr>
            <w:tcW w:w="992" w:type="dxa"/>
          </w:tcPr>
          <w:p w14:paraId="42616A08" w14:textId="77777777" w:rsidR="00680D86" w:rsidRDefault="00B359A4">
            <w:pPr>
              <w:jc w:val="center"/>
              <w:rPr>
                <w:rFonts w:cs="Calibri"/>
                <w:szCs w:val="20"/>
              </w:rPr>
            </w:pPr>
            <w:r>
              <w:rPr>
                <w:rFonts w:cs="Calibri"/>
                <w:szCs w:val="20"/>
              </w:rPr>
              <w:t>8.50%</w:t>
            </w:r>
          </w:p>
        </w:tc>
        <w:tc>
          <w:tcPr>
            <w:tcW w:w="1276" w:type="dxa"/>
          </w:tcPr>
          <w:p w14:paraId="2E2D90D8" w14:textId="77777777" w:rsidR="00680D86" w:rsidRDefault="00B359A4">
            <w:pPr>
              <w:jc w:val="center"/>
              <w:rPr>
                <w:rFonts w:cs="Calibri"/>
                <w:szCs w:val="20"/>
              </w:rPr>
            </w:pPr>
            <w:r>
              <w:rPr>
                <w:rFonts w:cs="Calibri"/>
                <w:szCs w:val="20"/>
              </w:rPr>
              <w:t>10 years +</w:t>
            </w:r>
          </w:p>
        </w:tc>
        <w:tc>
          <w:tcPr>
            <w:tcW w:w="1843" w:type="dxa"/>
          </w:tcPr>
          <w:p w14:paraId="251A8370" w14:textId="77777777" w:rsidR="00680D86" w:rsidRDefault="00B359A4">
            <w:pPr>
              <w:jc w:val="center"/>
              <w:rPr>
                <w:rFonts w:cs="Calibri"/>
                <w:szCs w:val="20"/>
              </w:rPr>
            </w:pPr>
            <w:r>
              <w:rPr>
                <w:rFonts w:cs="Calibri"/>
                <w:szCs w:val="20"/>
              </w:rPr>
              <w:t>Medium High</w:t>
            </w:r>
          </w:p>
        </w:tc>
      </w:tr>
      <w:tr w:rsidR="00680D86" w14:paraId="29716C4B" w14:textId="77777777">
        <w:tc>
          <w:tcPr>
            <w:tcW w:w="567" w:type="dxa"/>
          </w:tcPr>
          <w:p w14:paraId="4C5C0302" w14:textId="77777777" w:rsidR="00680D86" w:rsidRDefault="00B359A4">
            <w:pPr>
              <w:jc w:val="center"/>
              <w:rPr>
                <w:rFonts w:cs="Calibri"/>
                <w:szCs w:val="20"/>
              </w:rPr>
            </w:pPr>
            <w:r>
              <w:rPr>
                <w:rFonts w:cs="Calibri"/>
                <w:szCs w:val="20"/>
              </w:rPr>
              <w:t>9</w:t>
            </w:r>
          </w:p>
        </w:tc>
        <w:tc>
          <w:tcPr>
            <w:tcW w:w="1701" w:type="dxa"/>
          </w:tcPr>
          <w:p w14:paraId="00EC3FF8" w14:textId="77777777" w:rsidR="00680D86" w:rsidRDefault="00B359A4">
            <w:pPr>
              <w:jc w:val="center"/>
              <w:rPr>
                <w:rFonts w:cs="Calibri"/>
                <w:szCs w:val="20"/>
              </w:rPr>
            </w:pPr>
            <w:r>
              <w:rPr>
                <w:rFonts w:cs="Calibri"/>
                <w:szCs w:val="20"/>
              </w:rPr>
              <w:t>18.00% - 20.00%</w:t>
            </w:r>
          </w:p>
        </w:tc>
        <w:tc>
          <w:tcPr>
            <w:tcW w:w="1418" w:type="dxa"/>
          </w:tcPr>
          <w:p w14:paraId="025EB137" w14:textId="77777777" w:rsidR="00680D86" w:rsidRDefault="00B359A4">
            <w:pPr>
              <w:jc w:val="center"/>
              <w:rPr>
                <w:rFonts w:cs="Calibri"/>
                <w:color w:val="FF0000"/>
                <w:szCs w:val="20"/>
              </w:rPr>
            </w:pPr>
            <w:r>
              <w:rPr>
                <w:rFonts w:cs="Calibri"/>
                <w:color w:val="FF0000"/>
                <w:szCs w:val="20"/>
              </w:rPr>
              <w:t>£2,577.00</w:t>
            </w:r>
          </w:p>
        </w:tc>
        <w:tc>
          <w:tcPr>
            <w:tcW w:w="1559" w:type="dxa"/>
          </w:tcPr>
          <w:p w14:paraId="05C12D3A" w14:textId="77777777" w:rsidR="00680D86" w:rsidRDefault="00B359A4">
            <w:pPr>
              <w:jc w:val="center"/>
              <w:rPr>
                <w:rFonts w:cs="Calibri"/>
                <w:color w:val="008000"/>
                <w:szCs w:val="20"/>
              </w:rPr>
            </w:pPr>
            <w:r>
              <w:rPr>
                <w:rFonts w:cs="Calibri"/>
                <w:color w:val="008000"/>
                <w:szCs w:val="20"/>
              </w:rPr>
              <w:t>£3,224.00</w:t>
            </w:r>
          </w:p>
        </w:tc>
        <w:tc>
          <w:tcPr>
            <w:tcW w:w="992" w:type="dxa"/>
          </w:tcPr>
          <w:p w14:paraId="5EF0C96B" w14:textId="77777777" w:rsidR="00680D86" w:rsidRDefault="00B359A4">
            <w:pPr>
              <w:jc w:val="center"/>
              <w:rPr>
                <w:rFonts w:cs="Calibri"/>
                <w:szCs w:val="20"/>
              </w:rPr>
            </w:pPr>
            <w:r>
              <w:rPr>
                <w:rFonts w:cs="Calibri"/>
                <w:szCs w:val="20"/>
              </w:rPr>
              <w:t>9.00%</w:t>
            </w:r>
          </w:p>
        </w:tc>
        <w:tc>
          <w:tcPr>
            <w:tcW w:w="1276" w:type="dxa"/>
          </w:tcPr>
          <w:p w14:paraId="566BFA0A" w14:textId="77777777" w:rsidR="00680D86" w:rsidRDefault="00B359A4">
            <w:pPr>
              <w:jc w:val="center"/>
              <w:rPr>
                <w:rFonts w:cs="Calibri"/>
                <w:szCs w:val="20"/>
              </w:rPr>
            </w:pPr>
            <w:r>
              <w:rPr>
                <w:rFonts w:cs="Calibri"/>
                <w:szCs w:val="20"/>
              </w:rPr>
              <w:t>12 years +</w:t>
            </w:r>
          </w:p>
        </w:tc>
        <w:tc>
          <w:tcPr>
            <w:tcW w:w="1843" w:type="dxa"/>
          </w:tcPr>
          <w:p w14:paraId="07642F26" w14:textId="77777777" w:rsidR="00680D86" w:rsidRDefault="00B359A4">
            <w:pPr>
              <w:jc w:val="center"/>
              <w:rPr>
                <w:rFonts w:cs="Calibri"/>
                <w:szCs w:val="20"/>
              </w:rPr>
            </w:pPr>
            <w:r>
              <w:rPr>
                <w:rFonts w:cs="Calibri"/>
                <w:szCs w:val="20"/>
              </w:rPr>
              <w:t>High</w:t>
            </w:r>
          </w:p>
        </w:tc>
      </w:tr>
      <w:tr w:rsidR="00680D86" w14:paraId="5342CCF5" w14:textId="77777777">
        <w:tc>
          <w:tcPr>
            <w:tcW w:w="567" w:type="dxa"/>
          </w:tcPr>
          <w:p w14:paraId="7F544884" w14:textId="77777777" w:rsidR="00680D86" w:rsidRDefault="00B359A4">
            <w:pPr>
              <w:jc w:val="center"/>
              <w:rPr>
                <w:rFonts w:cs="Calibri"/>
                <w:szCs w:val="20"/>
              </w:rPr>
            </w:pPr>
            <w:r>
              <w:rPr>
                <w:rFonts w:cs="Calibri"/>
                <w:szCs w:val="20"/>
              </w:rPr>
              <w:t>10</w:t>
            </w:r>
          </w:p>
        </w:tc>
        <w:tc>
          <w:tcPr>
            <w:tcW w:w="1701" w:type="dxa"/>
          </w:tcPr>
          <w:p w14:paraId="5F6EF6E6" w14:textId="77777777" w:rsidR="00680D86" w:rsidRDefault="00B359A4">
            <w:pPr>
              <w:jc w:val="center"/>
              <w:rPr>
                <w:rFonts w:cs="Calibri"/>
                <w:szCs w:val="20"/>
              </w:rPr>
            </w:pPr>
            <w:r>
              <w:rPr>
                <w:rFonts w:cs="Calibri"/>
                <w:szCs w:val="20"/>
              </w:rPr>
              <w:t>20.00% - 100.00%</w:t>
            </w:r>
          </w:p>
        </w:tc>
        <w:tc>
          <w:tcPr>
            <w:tcW w:w="1418" w:type="dxa"/>
          </w:tcPr>
          <w:p w14:paraId="3F02B4A4" w14:textId="77777777" w:rsidR="00680D86" w:rsidRDefault="00B359A4">
            <w:pPr>
              <w:jc w:val="center"/>
              <w:rPr>
                <w:rFonts w:cs="Calibri"/>
                <w:color w:val="FF0000"/>
                <w:szCs w:val="20"/>
              </w:rPr>
            </w:pPr>
            <w:r>
              <w:rPr>
                <w:rFonts w:cs="Calibri"/>
                <w:color w:val="FF0000"/>
                <w:szCs w:val="20"/>
              </w:rPr>
              <w:t>£2,902.00</w:t>
            </w:r>
          </w:p>
        </w:tc>
        <w:tc>
          <w:tcPr>
            <w:tcW w:w="1559" w:type="dxa"/>
          </w:tcPr>
          <w:p w14:paraId="65D8BE4F" w14:textId="77777777" w:rsidR="00680D86" w:rsidRDefault="00B359A4">
            <w:pPr>
              <w:jc w:val="center"/>
              <w:rPr>
                <w:rFonts w:cs="Calibri"/>
                <w:color w:val="008000"/>
                <w:szCs w:val="20"/>
              </w:rPr>
            </w:pPr>
            <w:r>
              <w:rPr>
                <w:rFonts w:cs="Calibri"/>
                <w:color w:val="008000"/>
                <w:szCs w:val="20"/>
              </w:rPr>
              <w:t>£3,857.00</w:t>
            </w:r>
          </w:p>
        </w:tc>
        <w:tc>
          <w:tcPr>
            <w:tcW w:w="992" w:type="dxa"/>
          </w:tcPr>
          <w:p w14:paraId="4709C885" w14:textId="77777777" w:rsidR="00680D86" w:rsidRDefault="00B359A4">
            <w:pPr>
              <w:jc w:val="center"/>
              <w:rPr>
                <w:rFonts w:cs="Calibri"/>
                <w:szCs w:val="20"/>
              </w:rPr>
            </w:pPr>
            <w:r>
              <w:rPr>
                <w:rFonts w:cs="Calibri"/>
                <w:szCs w:val="20"/>
              </w:rPr>
              <w:t>9.50%</w:t>
            </w:r>
          </w:p>
        </w:tc>
        <w:tc>
          <w:tcPr>
            <w:tcW w:w="1276" w:type="dxa"/>
          </w:tcPr>
          <w:p w14:paraId="5D5E7EC4" w14:textId="77777777" w:rsidR="00680D86" w:rsidRDefault="00B359A4">
            <w:pPr>
              <w:jc w:val="center"/>
              <w:rPr>
                <w:rFonts w:cs="Calibri"/>
                <w:szCs w:val="20"/>
              </w:rPr>
            </w:pPr>
            <w:r>
              <w:rPr>
                <w:rFonts w:cs="Calibri"/>
                <w:szCs w:val="20"/>
              </w:rPr>
              <w:t>12-15 years</w:t>
            </w:r>
          </w:p>
        </w:tc>
        <w:tc>
          <w:tcPr>
            <w:tcW w:w="1843" w:type="dxa"/>
          </w:tcPr>
          <w:p w14:paraId="0D3206FD" w14:textId="77777777" w:rsidR="00680D86" w:rsidRDefault="00B359A4">
            <w:pPr>
              <w:jc w:val="center"/>
              <w:rPr>
                <w:rFonts w:cs="Calibri"/>
                <w:szCs w:val="20"/>
              </w:rPr>
            </w:pPr>
            <w:r>
              <w:rPr>
                <w:rFonts w:cs="Calibri"/>
                <w:szCs w:val="20"/>
              </w:rPr>
              <w:t>Very High</w:t>
            </w:r>
          </w:p>
        </w:tc>
      </w:tr>
    </w:tbl>
    <w:p w14:paraId="44BDC3EC" w14:textId="77777777" w:rsidR="00680D86" w:rsidRDefault="00680D86"/>
    <w:bookmarkEnd w:id="19"/>
    <w:p w14:paraId="3F12044F" w14:textId="77777777" w:rsidR="00680D86" w:rsidRDefault="00B359A4">
      <w:pPr>
        <w:rPr>
          <w:i/>
          <w:sz w:val="16"/>
          <w:szCs w:val="16"/>
          <w:lang w:eastAsia="en-GB"/>
        </w:rPr>
      </w:pPr>
      <w:r>
        <w:rPr>
          <w:i/>
          <w:sz w:val="16"/>
          <w:szCs w:val="16"/>
          <w:lang w:eastAsia="en-GB"/>
        </w:rPr>
        <w:t>Data provided by FE Analytics</w:t>
      </w:r>
    </w:p>
    <w:p w14:paraId="313C20CB" w14:textId="77777777" w:rsidR="00680D86" w:rsidRDefault="00680D86">
      <w:pPr>
        <w:rPr>
          <w:b/>
          <w:szCs w:val="20"/>
          <w:lang w:eastAsia="en-GB"/>
        </w:rPr>
      </w:pPr>
    </w:p>
    <w:p w14:paraId="6AC2DA45" w14:textId="77777777" w:rsidR="00680D86" w:rsidRDefault="00B359A4">
      <w:pPr>
        <w:rPr>
          <w:szCs w:val="20"/>
          <w:lang w:eastAsia="en-GB"/>
        </w:rPr>
      </w:pPr>
      <w:r>
        <w:rPr>
          <w:szCs w:val="20"/>
          <w:lang w:eastAsia="en-GB"/>
        </w:rPr>
        <w:t>The above analysis uses financial ratios which are measures that help us to analyse the performance of the underlying asset allocation of a generic portfolio over the last 20 years. It is not a specific analysis of any product or portfolio and can only be used as a guide.</w:t>
      </w:r>
    </w:p>
    <w:p w14:paraId="503C70B1" w14:textId="77777777" w:rsidR="00680D86" w:rsidRDefault="00680D86">
      <w:pPr>
        <w:rPr>
          <w:szCs w:val="20"/>
          <w:lang w:eastAsia="en-GB"/>
        </w:rPr>
      </w:pPr>
    </w:p>
    <w:p w14:paraId="39BC1828" w14:textId="77777777" w:rsidR="00680D86" w:rsidRDefault="00B359A4">
      <w:pPr>
        <w:rPr>
          <w:szCs w:val="20"/>
        </w:rPr>
      </w:pPr>
      <w:r>
        <w:rPr>
          <w:szCs w:val="20"/>
          <w:lang w:eastAsia="en-GB"/>
        </w:rPr>
        <w:t>We use financial ratios to stimulate discussion and help you develop greater understanding of risk and return. The ratios used in this table are explained below:</w:t>
      </w:r>
    </w:p>
    <w:p w14:paraId="7FF798E9" w14:textId="77777777" w:rsidR="00680D86" w:rsidRDefault="00680D86">
      <w:pPr>
        <w:rPr>
          <w:rFonts w:cs="Calibri"/>
          <w:b/>
          <w:szCs w:val="20"/>
          <w:lang w:eastAsia="en-GB"/>
        </w:rPr>
      </w:pPr>
    </w:p>
    <w:p w14:paraId="58B20F70" w14:textId="77777777" w:rsidR="00680D86" w:rsidRDefault="00B359A4">
      <w:pPr>
        <w:rPr>
          <w:rStyle w:val="Strong"/>
        </w:rPr>
      </w:pPr>
      <w:r>
        <w:rPr>
          <w:rStyle w:val="Strong"/>
        </w:rPr>
        <w:t>Example volatility</w:t>
      </w:r>
    </w:p>
    <w:p w14:paraId="42073200" w14:textId="77777777" w:rsidR="00680D86" w:rsidRDefault="00680D86">
      <w:pPr>
        <w:rPr>
          <w:szCs w:val="20"/>
          <w:lang w:eastAsia="en-GB"/>
        </w:rPr>
      </w:pPr>
    </w:p>
    <w:p w14:paraId="2915FC93" w14:textId="77777777" w:rsidR="00680D86" w:rsidRDefault="00B359A4">
      <w:pPr>
        <w:rPr>
          <w:szCs w:val="20"/>
          <w:lang w:eastAsia="en-GB"/>
        </w:rPr>
      </w:pPr>
      <w:r>
        <w:rPr>
          <w:szCs w:val="20"/>
          <w:lang w:eastAsia="en-GB"/>
        </w:rPr>
        <w:t>The most common measure of volatility is simply the variation of the average annualised return. It does not necessarily represent how much a portfolio can rise or fall by but presents one of the best measures for portfolio risk. The example of volatility above is only a benchmark for an investment professional and actual volatility could deviate either way depending on market conditions.</w:t>
      </w:r>
    </w:p>
    <w:p w14:paraId="4B874D52" w14:textId="77777777" w:rsidR="00680D86" w:rsidRDefault="00680D86">
      <w:pPr>
        <w:rPr>
          <w:szCs w:val="20"/>
          <w:lang w:eastAsia="en-GB"/>
        </w:rPr>
      </w:pPr>
    </w:p>
    <w:p w14:paraId="20AE2C4A" w14:textId="77777777" w:rsidR="00680D86" w:rsidRDefault="00B359A4">
      <w:pPr>
        <w:rPr>
          <w:szCs w:val="20"/>
          <w:lang w:eastAsia="en-GB"/>
        </w:rPr>
      </w:pPr>
      <w:r>
        <w:rPr>
          <w:szCs w:val="20"/>
          <w:lang w:eastAsia="en-GB"/>
        </w:rPr>
        <w:t>One obvious limitation of this approach is investing outside of a well defined portfolio in an asset with a specific risk. For example, a guaranteed income plan will have a very low volatility (on par with cash) but maybe subject to institutional failure of the counterparty backing the plan.</w:t>
      </w:r>
    </w:p>
    <w:p w14:paraId="54E5E321" w14:textId="77777777" w:rsidR="00680D86" w:rsidRDefault="00680D86">
      <w:pPr>
        <w:rPr>
          <w:szCs w:val="20"/>
          <w:lang w:eastAsia="en-GB"/>
        </w:rPr>
      </w:pPr>
    </w:p>
    <w:p w14:paraId="12475770" w14:textId="77777777" w:rsidR="00680D86" w:rsidRDefault="00B359A4">
      <w:pPr>
        <w:rPr>
          <w:szCs w:val="20"/>
          <w:lang w:eastAsia="en-GB"/>
        </w:rPr>
      </w:pPr>
      <w:r>
        <w:rPr>
          <w:szCs w:val="20"/>
          <w:lang w:eastAsia="en-GB"/>
        </w:rPr>
        <w:t>In this instance the resultant ‘volatility score’ will be skewed because it does not take into account-specific risks and this is where the skill of the adviser and due diligence are very important.</w:t>
      </w:r>
    </w:p>
    <w:p w14:paraId="55F20D1F" w14:textId="77777777" w:rsidR="00680D86" w:rsidRDefault="00B359A4">
      <w:pPr>
        <w:jc w:val="left"/>
        <w:rPr>
          <w:rFonts w:cs="Calibri"/>
          <w:szCs w:val="20"/>
          <w:lang w:eastAsia="en-GB"/>
        </w:rPr>
      </w:pPr>
      <w:r>
        <w:rPr>
          <w:rFonts w:cs="Calibri"/>
          <w:szCs w:val="20"/>
          <w:lang w:eastAsia="en-GB"/>
        </w:rPr>
        <w:br w:type="page"/>
      </w:r>
    </w:p>
    <w:p w14:paraId="41EE4942" w14:textId="77777777" w:rsidR="00680D86" w:rsidRDefault="00B359A4">
      <w:pPr>
        <w:rPr>
          <w:rStyle w:val="Strong"/>
        </w:rPr>
      </w:pPr>
      <w:r>
        <w:rPr>
          <w:rStyle w:val="Strong"/>
        </w:rPr>
        <w:lastRenderedPageBreak/>
        <w:t>Potential loss over 1 year</w:t>
      </w:r>
    </w:p>
    <w:p w14:paraId="6D7D5180" w14:textId="77777777" w:rsidR="00680D86" w:rsidRDefault="00680D86">
      <w:pPr>
        <w:rPr>
          <w:szCs w:val="20"/>
          <w:lang w:eastAsia="en-GB"/>
        </w:rPr>
      </w:pPr>
    </w:p>
    <w:p w14:paraId="7BAC843F" w14:textId="77777777" w:rsidR="00680D86" w:rsidRDefault="00B359A4">
      <w:pPr>
        <w:rPr>
          <w:szCs w:val="20"/>
          <w:lang w:eastAsia="en-GB"/>
        </w:rPr>
      </w:pPr>
      <w:r>
        <w:t>This analysis is so important because it highlights the worst historical calendar year return in the last 20 years using generic asset classes</w:t>
      </w:r>
      <w:r>
        <w:rPr>
          <w:szCs w:val="20"/>
          <w:lang w:eastAsia="en-GB"/>
        </w:rPr>
        <w:t>. The question to ask yourself is what you would do if your investments fell by this amount over 1 year?</w:t>
      </w:r>
    </w:p>
    <w:p w14:paraId="245A62B1" w14:textId="77777777" w:rsidR="00680D86" w:rsidRDefault="00680D86">
      <w:pPr>
        <w:jc w:val="left"/>
        <w:rPr>
          <w:rStyle w:val="Strong"/>
        </w:rPr>
      </w:pPr>
    </w:p>
    <w:p w14:paraId="3A88F93E" w14:textId="77777777" w:rsidR="00680D86" w:rsidRDefault="00B359A4">
      <w:pPr>
        <w:rPr>
          <w:rStyle w:val="Strong"/>
        </w:rPr>
      </w:pPr>
      <w:r>
        <w:rPr>
          <w:rStyle w:val="Strong"/>
        </w:rPr>
        <w:t>Potential gain over 1 year</w:t>
      </w:r>
    </w:p>
    <w:p w14:paraId="33CE8A4E" w14:textId="77777777" w:rsidR="00680D86" w:rsidRDefault="00680D86">
      <w:pPr>
        <w:rPr>
          <w:szCs w:val="20"/>
          <w:lang w:eastAsia="en-GB"/>
        </w:rPr>
      </w:pPr>
    </w:p>
    <w:p w14:paraId="159C9074" w14:textId="77777777" w:rsidR="00680D86" w:rsidRDefault="00B359A4">
      <w:pPr>
        <w:rPr>
          <w:szCs w:val="20"/>
          <w:lang w:eastAsia="en-GB"/>
        </w:rPr>
      </w:pPr>
      <w:r>
        <w:t>Conversely, the potential gain highlights the best historical calendar year return in the last 20 years using generic asset classes</w:t>
      </w:r>
      <w:r>
        <w:rPr>
          <w:szCs w:val="20"/>
          <w:lang w:eastAsia="en-GB"/>
        </w:rPr>
        <w:t>. You should probably ask yourself the same question as before, what would you do if you enjoyed this return?</w:t>
      </w:r>
    </w:p>
    <w:p w14:paraId="325E7BDF" w14:textId="77777777" w:rsidR="00680D86" w:rsidRDefault="00680D86">
      <w:pPr>
        <w:rPr>
          <w:rFonts w:cs="Calibri"/>
          <w:szCs w:val="20"/>
          <w:lang w:eastAsia="en-GB"/>
        </w:rPr>
      </w:pPr>
    </w:p>
    <w:p w14:paraId="6DC2E9A8" w14:textId="77777777" w:rsidR="00680D86" w:rsidRDefault="00B359A4">
      <w:pPr>
        <w:rPr>
          <w:rStyle w:val="Strong"/>
        </w:rPr>
      </w:pPr>
      <w:r>
        <w:rPr>
          <w:rStyle w:val="Strong"/>
        </w:rPr>
        <w:t>Example Time Horizon and Target Return</w:t>
      </w:r>
    </w:p>
    <w:p w14:paraId="698AD574" w14:textId="77777777" w:rsidR="00680D86" w:rsidRDefault="00680D86">
      <w:pPr>
        <w:rPr>
          <w:rStyle w:val="Strong"/>
        </w:rPr>
      </w:pPr>
    </w:p>
    <w:p w14:paraId="0E2BB410" w14:textId="77777777" w:rsidR="00680D86" w:rsidRDefault="00B359A4">
      <w:pPr>
        <w:rPr>
          <w:rStyle w:val="Strong"/>
          <w:b w:val="0"/>
        </w:rPr>
      </w:pPr>
      <w:r>
        <w:rPr>
          <w:szCs w:val="20"/>
          <w:lang w:eastAsia="en-GB"/>
        </w:rPr>
        <w:t>The potential long term return</w:t>
      </w:r>
      <w:r>
        <w:rPr>
          <w:b/>
          <w:szCs w:val="20"/>
          <w:lang w:eastAsia="en-GB"/>
        </w:rPr>
        <w:t xml:space="preserve"> </w:t>
      </w:r>
      <w:r>
        <w:rPr>
          <w:rStyle w:val="Strong"/>
          <w:b w:val="0"/>
        </w:rPr>
        <w:t>gives you an idea of the type of return you might achieve given the potential time horizon and takes into consideration the performance of the underlying asset classes over the last 20 years. There is of course absolutely no guarantee of future returns and it is important to understand the potential for loss especially if you have to cash in your investment prematurely.</w:t>
      </w:r>
    </w:p>
    <w:p w14:paraId="3DA77306" w14:textId="77777777" w:rsidR="00680D86" w:rsidRDefault="00680D86">
      <w:pPr>
        <w:rPr>
          <w:rFonts w:cs="Calibri"/>
          <w:szCs w:val="20"/>
          <w:lang w:eastAsia="en-GB"/>
        </w:rPr>
      </w:pPr>
    </w:p>
    <w:p w14:paraId="5BF48345" w14:textId="77777777" w:rsidR="00680D86" w:rsidRDefault="00B359A4">
      <w:pPr>
        <w:rPr>
          <w:b/>
          <w:szCs w:val="20"/>
          <w:lang w:eastAsia="en-GB"/>
        </w:rPr>
      </w:pPr>
      <w:r>
        <w:rPr>
          <w:b/>
          <w:szCs w:val="20"/>
          <w:lang w:eastAsia="en-GB"/>
        </w:rPr>
        <w:t>Risk Level vs. Risk Description</w:t>
      </w:r>
    </w:p>
    <w:p w14:paraId="4E5CE2F4" w14:textId="77777777" w:rsidR="00680D86" w:rsidRDefault="00680D86">
      <w:pPr>
        <w:rPr>
          <w:b/>
          <w:szCs w:val="20"/>
          <w:lang w:eastAsia="en-GB"/>
        </w:rPr>
      </w:pPr>
    </w:p>
    <w:p w14:paraId="5C7B9244" w14:textId="77777777" w:rsidR="00680D86" w:rsidRDefault="00B359A4">
      <w:pPr>
        <w:rPr>
          <w:szCs w:val="20"/>
          <w:lang w:eastAsia="en-GB"/>
        </w:rPr>
      </w:pPr>
      <w:r>
        <w:rPr>
          <w:szCs w:val="20"/>
          <w:lang w:eastAsia="en-GB"/>
        </w:rPr>
        <w:t>Risk level Descriptions provide your adviser with a more sensitive measure which will allow them to build up to 9 portfolios for each of your investment goals or attitude to risk. Risk Descriptions allow slightly more freedom within the Cautious, Balanced and Moderately Adventurous Profiles which are effectively a blend of two levels.</w:t>
      </w:r>
    </w:p>
    <w:p w14:paraId="0BA71C90" w14:textId="77777777" w:rsidR="00680D86" w:rsidRDefault="00680D86">
      <w:pPr>
        <w:rPr>
          <w:szCs w:val="20"/>
          <w:lang w:eastAsia="en-GB"/>
        </w:rPr>
      </w:pPr>
    </w:p>
    <w:p w14:paraId="24FF7C55" w14:textId="77777777" w:rsidR="00680D86" w:rsidRDefault="00B359A4">
      <w:pPr>
        <w:rPr>
          <w:szCs w:val="20"/>
          <w:lang w:eastAsia="en-GB"/>
        </w:rPr>
      </w:pPr>
      <w:r>
        <w:rPr>
          <w:szCs w:val="20"/>
          <w:lang w:eastAsia="en-GB"/>
        </w:rPr>
        <w:t>A wider range of volatility is useful because it allows Discretionary Fund Managers to ‘map’ their portfolio characteristics to your chosen style. For example, you might ask your adviser to manage a portfolio given your ‘balanced’ attitude to risk which is the same as asking your adviser to manage risk spanning risk level 5 and 6.</w:t>
      </w:r>
    </w:p>
    <w:p w14:paraId="78518F4F" w14:textId="77777777" w:rsidR="00680D86" w:rsidRDefault="00680D86">
      <w:pPr>
        <w:rPr>
          <w:rFonts w:cs="Calibri"/>
          <w:szCs w:val="20"/>
          <w:lang w:eastAsia="en-GB"/>
        </w:rPr>
      </w:pPr>
    </w:p>
    <w:p w14:paraId="6BF3C002" w14:textId="77777777" w:rsidR="00680D86" w:rsidRDefault="00B359A4">
      <w:pPr>
        <w:jc w:val="left"/>
        <w:rPr>
          <w:rFonts w:cs="Calibri"/>
          <w:szCs w:val="20"/>
          <w:lang w:eastAsia="en-GB"/>
        </w:rPr>
      </w:pPr>
      <w:r>
        <w:rPr>
          <w:rFonts w:cs="Calibri"/>
          <w:szCs w:val="20"/>
          <w:lang w:eastAsia="en-GB"/>
        </w:rPr>
        <w:br w:type="page"/>
      </w:r>
    </w:p>
    <w:p w14:paraId="011A05BD" w14:textId="77777777" w:rsidR="00680D86" w:rsidRDefault="00B359A4">
      <w:pPr>
        <w:pStyle w:val="Heading2"/>
      </w:pPr>
      <w:bookmarkStart w:id="20" w:name="_Toc295207646"/>
      <w:bookmarkStart w:id="21" w:name="_Toc295208090"/>
      <w:r>
        <w:lastRenderedPageBreak/>
        <w:t>Example range of annualised returns for risk level 5</w:t>
      </w:r>
      <w:bookmarkEnd w:id="20"/>
      <w:bookmarkEnd w:id="21"/>
    </w:p>
    <w:p w14:paraId="5E5AE49F" w14:textId="77777777" w:rsidR="00680D86" w:rsidRDefault="00680D86">
      <w:pPr>
        <w:rPr>
          <w:rFonts w:cs="Calibri"/>
          <w:szCs w:val="20"/>
          <w:lang w:eastAsia="en-GB"/>
        </w:rPr>
      </w:pPr>
      <w:bookmarkStart w:id="22" w:name="RiskLevelHistoricAnnualisedRetur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9027"/>
      </w:tblGrid>
      <w:tr w:rsidR="00680D86" w14:paraId="379BCE23" w14:textId="77777777">
        <w:tblPrEx>
          <w:tblCellMar>
            <w:top w:w="0" w:type="dxa"/>
            <w:left w:w="0" w:type="dxa"/>
            <w:bottom w:w="0" w:type="dxa"/>
            <w:right w:w="0" w:type="dxa"/>
          </w:tblCellMar>
        </w:tblPrEx>
        <w:tc>
          <w:tcPr>
            <w:tcW w:w="9027" w:type="dxa"/>
          </w:tcPr>
          <w:p w14:paraId="6001941C" w14:textId="77777777" w:rsidR="00680D86" w:rsidRDefault="00B359A4">
            <w:r>
              <w:rPr>
                <w:noProof/>
              </w:rPr>
              <w:drawing>
                <wp:inline distT="0" distB="0" distL="0" distR="0" wp14:anchorId="0A7B90F8" wp14:editId="417539EF">
                  <wp:extent cx="6192114" cy="3810532"/>
                  <wp:effectExtent l="0" t="0" r="0" b="0"/>
                  <wp:docPr id="15" name="Picture 2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6192114" cy="3810532"/>
                          </a:xfrm>
                          <a:prstGeom prst="rect">
                            <a:avLst/>
                          </a:prstGeom>
                        </pic:spPr>
                      </pic:pic>
                    </a:graphicData>
                  </a:graphic>
                </wp:inline>
              </w:drawing>
            </w:r>
          </w:p>
        </w:tc>
      </w:tr>
    </w:tbl>
    <w:p w14:paraId="6F3FF7FE" w14:textId="77777777" w:rsidR="00680D86" w:rsidRDefault="00680D86">
      <w:pPr>
        <w:rPr>
          <w:rFonts w:cs="Calibri"/>
          <w:szCs w:val="20"/>
          <w:lang w:eastAsia="en-GB"/>
        </w:rPr>
      </w:pPr>
    </w:p>
    <w:bookmarkEnd w:id="22"/>
    <w:p w14:paraId="0419BEF7" w14:textId="77777777" w:rsidR="00680D86" w:rsidRDefault="00B359A4">
      <w:pPr>
        <w:rPr>
          <w:rStyle w:val="Strong"/>
        </w:rPr>
      </w:pPr>
      <w:r>
        <w:rPr>
          <w:rStyle w:val="Strong"/>
        </w:rPr>
        <w:t>What does the above chart illustrate?</w:t>
      </w:r>
    </w:p>
    <w:p w14:paraId="6ABFCE96" w14:textId="77777777" w:rsidR="00680D86" w:rsidRDefault="00680D86">
      <w:pPr>
        <w:rPr>
          <w:szCs w:val="20"/>
        </w:rPr>
      </w:pPr>
    </w:p>
    <w:p w14:paraId="5B654DEC" w14:textId="77777777" w:rsidR="00680D86" w:rsidRDefault="00B359A4">
      <w:pPr>
        <w:rPr>
          <w:szCs w:val="20"/>
        </w:rPr>
      </w:pPr>
      <w:r>
        <w:rPr>
          <w:szCs w:val="20"/>
        </w:rPr>
        <w:t>The above chart plots the best and worst discrete annualised returns over the last twenty calendar years using the example asset allocation in section 5.</w:t>
      </w:r>
    </w:p>
    <w:p w14:paraId="586B331F" w14:textId="77777777" w:rsidR="00680D86" w:rsidRDefault="00680D86">
      <w:pPr>
        <w:rPr>
          <w:szCs w:val="20"/>
        </w:rPr>
      </w:pPr>
    </w:p>
    <w:p w14:paraId="239504AE" w14:textId="77777777" w:rsidR="00680D86" w:rsidRDefault="00B359A4">
      <w:pPr>
        <w:rPr>
          <w:szCs w:val="20"/>
        </w:rPr>
      </w:pPr>
      <w:r>
        <w:rPr>
          <w:szCs w:val="20"/>
        </w:rPr>
        <w:t>For example, if we look at every 1 year period during the last twenty years, then the best year would have produced 18.5%, and the worst would have produced -14.5%. Therefore the range of returns is 33.0%.</w:t>
      </w:r>
    </w:p>
    <w:p w14:paraId="26E14794" w14:textId="77777777" w:rsidR="00680D86" w:rsidRDefault="00680D86">
      <w:pPr>
        <w:rPr>
          <w:szCs w:val="20"/>
        </w:rPr>
      </w:pPr>
    </w:p>
    <w:p w14:paraId="2B83AD5E" w14:textId="77777777" w:rsidR="00680D86" w:rsidRDefault="00B359A4">
      <w:pPr>
        <w:rPr>
          <w:szCs w:val="20"/>
        </w:rPr>
      </w:pPr>
      <w:r>
        <w:rPr>
          <w:szCs w:val="20"/>
        </w:rPr>
        <w:t>If we annualise every 11 year period, then the best 11 year period would have produced an annualised return of 7.5%, and the worst 11 year period would have produced 4.6%. Therefore the range of return has reduced significantly to 3.0%.</w:t>
      </w:r>
    </w:p>
    <w:p w14:paraId="759EB641" w14:textId="77777777" w:rsidR="00680D86" w:rsidRDefault="00680D86">
      <w:pPr>
        <w:rPr>
          <w:szCs w:val="20"/>
        </w:rPr>
      </w:pPr>
    </w:p>
    <w:p w14:paraId="64C2C3E9" w14:textId="77777777" w:rsidR="00680D86" w:rsidRDefault="00B359A4">
      <w:pPr>
        <w:rPr>
          <w:b/>
          <w:szCs w:val="20"/>
        </w:rPr>
      </w:pPr>
      <w:r>
        <w:rPr>
          <w:b/>
          <w:szCs w:val="20"/>
        </w:rPr>
        <w:t>Annual Return</w:t>
      </w:r>
    </w:p>
    <w:p w14:paraId="1EE2BBDB" w14:textId="77777777" w:rsidR="00680D86" w:rsidRDefault="00680D86">
      <w:pPr>
        <w:rPr>
          <w:szCs w:val="20"/>
        </w:rPr>
      </w:pPr>
    </w:p>
    <w:p w14:paraId="7B4D7DD9" w14:textId="77777777" w:rsidR="00680D86" w:rsidRDefault="00B359A4">
      <w:pPr>
        <w:rPr>
          <w:b/>
          <w:szCs w:val="20"/>
        </w:rPr>
      </w:pPr>
      <w:r>
        <w:rPr>
          <w:szCs w:val="20"/>
        </w:rPr>
        <w:t xml:space="preserve">The green line on the above chart shows us what the average long term return would have been for the example of asset allocation. In this instance the average return for this portfolio type would have produced </w:t>
      </w:r>
      <w:r>
        <w:rPr>
          <w:b/>
          <w:color w:val="008000"/>
          <w:szCs w:val="20"/>
        </w:rPr>
        <w:t>5.62%.</w:t>
      </w:r>
    </w:p>
    <w:p w14:paraId="66E1DDFF" w14:textId="77777777" w:rsidR="00680D86" w:rsidRDefault="00680D86">
      <w:pPr>
        <w:rPr>
          <w:szCs w:val="20"/>
        </w:rPr>
      </w:pPr>
    </w:p>
    <w:p w14:paraId="020E7CB2" w14:textId="77777777" w:rsidR="00680D86" w:rsidRDefault="00B359A4">
      <w:pPr>
        <w:jc w:val="left"/>
        <w:rPr>
          <w:b/>
          <w:szCs w:val="20"/>
          <w:lang w:eastAsia="en-GB"/>
        </w:rPr>
      </w:pPr>
      <w:r>
        <w:rPr>
          <w:b/>
          <w:szCs w:val="20"/>
          <w:lang w:eastAsia="en-GB"/>
        </w:rPr>
        <w:t>Corridor of Return</w:t>
      </w:r>
    </w:p>
    <w:p w14:paraId="00D27237" w14:textId="77777777" w:rsidR="00680D86" w:rsidRDefault="00680D86">
      <w:pPr>
        <w:jc w:val="left"/>
        <w:rPr>
          <w:b/>
          <w:szCs w:val="20"/>
          <w:lang w:eastAsia="en-GB"/>
        </w:rPr>
      </w:pPr>
    </w:p>
    <w:p w14:paraId="24744847" w14:textId="77777777" w:rsidR="00680D86" w:rsidRDefault="00B359A4">
      <w:pPr>
        <w:rPr>
          <w:rFonts w:cs="Calibri"/>
          <w:szCs w:val="20"/>
        </w:rPr>
      </w:pPr>
      <w:r>
        <w:t>The above chart illustrates quite succinctly that returns are erratic but the corridor of returns narrows through the years. In other words risk is diluted with time and this can be very useful when planning which investment portfolio would be right for your own goals.</w:t>
      </w:r>
    </w:p>
    <w:p w14:paraId="1C05A148" w14:textId="77777777" w:rsidR="00680D86" w:rsidRDefault="00680D86">
      <w:pPr>
        <w:rPr>
          <w:rFonts w:cs="Calibri"/>
          <w:szCs w:val="20"/>
          <w:lang w:eastAsia="en-GB"/>
        </w:rPr>
      </w:pPr>
    </w:p>
    <w:p w14:paraId="1F091785" w14:textId="77777777" w:rsidR="00680D86" w:rsidRDefault="00B359A4">
      <w:pPr>
        <w:jc w:val="left"/>
        <w:rPr>
          <w:rFonts w:cs="Calibri"/>
          <w:szCs w:val="20"/>
          <w:lang w:eastAsia="en-GB"/>
        </w:rPr>
      </w:pPr>
      <w:r>
        <w:rPr>
          <w:rFonts w:cs="Calibri"/>
          <w:szCs w:val="20"/>
          <w:lang w:eastAsia="en-GB"/>
        </w:rPr>
        <w:br w:type="page"/>
      </w:r>
    </w:p>
    <w:p w14:paraId="3AD808AB" w14:textId="77777777" w:rsidR="00680D86" w:rsidRDefault="00B359A4">
      <w:pPr>
        <w:pStyle w:val="Heading2"/>
      </w:pPr>
      <w:bookmarkStart w:id="23" w:name="_Toc295207647"/>
      <w:bookmarkStart w:id="24" w:name="_Toc295208091"/>
      <w:r>
        <w:lastRenderedPageBreak/>
        <w:t>Capacity for risk</w:t>
      </w:r>
      <w:bookmarkEnd w:id="23"/>
      <w:bookmarkEnd w:id="24"/>
    </w:p>
    <w:p w14:paraId="0CD164EC" w14:textId="77777777" w:rsidR="00680D86" w:rsidRDefault="00680D86"/>
    <w:p w14:paraId="581976F8" w14:textId="77777777" w:rsidR="00680D86" w:rsidRDefault="00B359A4">
      <w:pPr>
        <w:keepNext/>
        <w:widowControl w:val="0"/>
        <w:shd w:val="clear" w:color="auto" w:fill="FFFFFF"/>
        <w:autoSpaceDE w:val="0"/>
        <w:autoSpaceDN w:val="0"/>
        <w:adjustRightInd w:val="0"/>
        <w:spacing w:after="200"/>
        <w:rPr>
          <w:rFonts w:eastAsia="Arial Unicode MS" w:cs="Calibri"/>
          <w:color w:val="000000"/>
          <w:szCs w:val="20"/>
          <w:lang w:eastAsia="en-GB"/>
        </w:rPr>
      </w:pPr>
      <w:r>
        <w:rPr>
          <w:rFonts w:eastAsia="Arial Unicode MS" w:cs="Calibri"/>
          <w:color w:val="000000"/>
          <w:szCs w:val="20"/>
          <w:lang w:eastAsia="en-GB"/>
        </w:rPr>
        <w:t>As part of the process of establishing your attitude to risk and determining the suitability of various potential investment risk profiles, it is important to consider what is called your “capacity for risk”. Your capacity for risk is the degree to which your personal circumstances and opinions will impact the specific investment decisions your adviser recommends.</w:t>
      </w:r>
    </w:p>
    <w:p w14:paraId="63F5DBA3" w14:textId="77777777" w:rsidR="00680D86" w:rsidRDefault="00B359A4">
      <w:pPr>
        <w:keepNext/>
        <w:widowControl w:val="0"/>
        <w:shd w:val="clear" w:color="auto" w:fill="FFFFFF"/>
        <w:autoSpaceDE w:val="0"/>
        <w:autoSpaceDN w:val="0"/>
        <w:adjustRightInd w:val="0"/>
        <w:spacing w:after="200"/>
        <w:rPr>
          <w:rFonts w:eastAsia="Arial Unicode MS" w:cs="Calibri"/>
          <w:color w:val="000000"/>
          <w:szCs w:val="20"/>
          <w:lang w:eastAsia="en-GB"/>
        </w:rPr>
      </w:pPr>
      <w:r>
        <w:rPr>
          <w:rFonts w:eastAsia="Arial Unicode MS" w:cs="Calibri"/>
          <w:color w:val="000000"/>
          <w:szCs w:val="20"/>
          <w:lang w:eastAsia="en-GB"/>
        </w:rPr>
        <w:t>When you align a risk level to each of your investment goals it helps to consider four areas: investment timeframe, debt repayment, your capacity for loss and investment liquidity.</w:t>
      </w:r>
    </w:p>
    <w:p w14:paraId="69F7EA5B" w14:textId="77777777" w:rsidR="00680D86" w:rsidRDefault="00B359A4">
      <w:pPr>
        <w:pStyle w:val="Heading2"/>
        <w:numPr>
          <w:ilvl w:val="0"/>
          <w:numId w:val="0"/>
        </w:numPr>
        <w:rPr>
          <w:rStyle w:val="Strong"/>
          <w:b/>
        </w:rPr>
      </w:pPr>
      <w:r>
        <w:rPr>
          <w:rStyle w:val="Strong"/>
          <w:b/>
        </w:rPr>
        <w:t xml:space="preserve">Investment timeframe </w:t>
      </w:r>
    </w:p>
    <w:p w14:paraId="66E6A5B5" w14:textId="77777777" w:rsidR="00680D86" w:rsidRDefault="00680D86">
      <w:pPr>
        <w:keepNext/>
        <w:widowControl w:val="0"/>
        <w:shd w:val="clear" w:color="auto" w:fill="FFFFFF"/>
        <w:rPr>
          <w:rStyle w:val="Strong"/>
        </w:rPr>
      </w:pPr>
    </w:p>
    <w:p w14:paraId="39700C3D" w14:textId="77777777" w:rsidR="00680D86" w:rsidRDefault="00B359A4">
      <w:pPr>
        <w:keepNext/>
        <w:widowControl w:val="0"/>
        <w:shd w:val="clear" w:color="auto" w:fill="FFFFFF"/>
        <w:rPr>
          <w:rStyle w:val="Strong"/>
          <w:b w:val="0"/>
        </w:rPr>
      </w:pPr>
      <w:r>
        <w:rPr>
          <w:rStyle w:val="Strong"/>
          <w:b w:val="0"/>
        </w:rPr>
        <w:t>For each investment you make it is important to establish when you intend to cash in or use the invested funds for another purpose. Typically, this would be a short term of less than five years, a medium term between 5 and 10 years and a long term for any investments greater than 10 years.</w:t>
      </w:r>
    </w:p>
    <w:p w14:paraId="1A9240D3" w14:textId="77777777" w:rsidR="00680D86" w:rsidRDefault="00680D86">
      <w:pPr>
        <w:keepNext/>
        <w:widowControl w:val="0"/>
        <w:shd w:val="clear" w:color="auto" w:fill="FFFFFF"/>
        <w:rPr>
          <w:rStyle w:val="Strong"/>
          <w:b w:val="0"/>
        </w:rPr>
      </w:pPr>
    </w:p>
    <w:p w14:paraId="77CDAF1F" w14:textId="77777777" w:rsidR="00680D86" w:rsidRDefault="00B359A4">
      <w:pPr>
        <w:keepNext/>
        <w:widowControl w:val="0"/>
        <w:shd w:val="clear" w:color="auto" w:fill="FFFFFF"/>
        <w:rPr>
          <w:rStyle w:val="Strong"/>
          <w:b w:val="0"/>
        </w:rPr>
      </w:pPr>
      <w:r>
        <w:rPr>
          <w:rStyle w:val="Strong"/>
          <w:b w:val="0"/>
        </w:rPr>
        <w:t>Many people simply don’t know when they might need access to invested money but where this is in doubt you should always consider a lower risk investment until you can confidently commit to a longer period.</w:t>
      </w:r>
    </w:p>
    <w:p w14:paraId="28C43B9D" w14:textId="77777777" w:rsidR="00680D86" w:rsidRDefault="00680D86">
      <w:pPr>
        <w:rPr>
          <w:rStyle w:val="Strong"/>
        </w:rPr>
      </w:pPr>
    </w:p>
    <w:p w14:paraId="0B2FB98D" w14:textId="77777777" w:rsidR="00680D86" w:rsidRDefault="00B359A4">
      <w:pPr>
        <w:rPr>
          <w:rStyle w:val="Strong"/>
        </w:rPr>
      </w:pPr>
      <w:r>
        <w:rPr>
          <w:rStyle w:val="Strong"/>
        </w:rPr>
        <w:t>Debt repayment</w:t>
      </w:r>
    </w:p>
    <w:p w14:paraId="40EDFC96" w14:textId="77777777" w:rsidR="00680D86" w:rsidRDefault="00680D86">
      <w:pPr>
        <w:rPr>
          <w:rStyle w:val="Strong"/>
        </w:rPr>
      </w:pPr>
    </w:p>
    <w:p w14:paraId="04FFE056" w14:textId="77777777" w:rsidR="00680D86" w:rsidRDefault="00B359A4">
      <w:pPr>
        <w:rPr>
          <w:color w:val="000000"/>
          <w:szCs w:val="20"/>
          <w:lang w:eastAsia="en-GB"/>
        </w:rPr>
      </w:pPr>
      <w:r>
        <w:rPr>
          <w:color w:val="000000"/>
          <w:szCs w:val="20"/>
          <w:lang w:eastAsia="en-GB"/>
        </w:rPr>
        <w:t>As a general rule, before undertaking any investment, you should consider if it would be better to repay debts you may have. This is particularly relevant where these debts are subject to a high rate of interest, such as credit cards as it would be unlikely that investment returns would beat the rate of interest.</w:t>
      </w:r>
    </w:p>
    <w:p w14:paraId="674DEE8C" w14:textId="77777777" w:rsidR="00680D86" w:rsidRDefault="00680D86">
      <w:pPr>
        <w:rPr>
          <w:color w:val="000000"/>
          <w:szCs w:val="20"/>
          <w:lang w:eastAsia="en-GB"/>
        </w:rPr>
      </w:pPr>
    </w:p>
    <w:p w14:paraId="33C5709D" w14:textId="77777777" w:rsidR="00680D86" w:rsidRDefault="00B359A4">
      <w:pPr>
        <w:rPr>
          <w:color w:val="000000"/>
          <w:szCs w:val="20"/>
          <w:lang w:eastAsia="en-GB"/>
        </w:rPr>
      </w:pPr>
      <w:r>
        <w:rPr>
          <w:color w:val="000000"/>
          <w:szCs w:val="20"/>
          <w:lang w:eastAsia="en-GB"/>
        </w:rPr>
        <w:t>You will also need to consider if you pay debts out of taxed income. For example, if you pay a mortgage from taxed income and also pay 40% tax on your savings you will need a minimum gross return which is 67% higher than your chargeable rate of interest just to break even.</w:t>
      </w:r>
    </w:p>
    <w:p w14:paraId="387E0543" w14:textId="77777777" w:rsidR="00680D86" w:rsidRDefault="00680D86">
      <w:pPr>
        <w:rPr>
          <w:color w:val="000000"/>
          <w:szCs w:val="20"/>
          <w:lang w:eastAsia="en-GB"/>
        </w:rPr>
      </w:pPr>
    </w:p>
    <w:p w14:paraId="559CA717" w14:textId="77777777" w:rsidR="00680D86" w:rsidRDefault="00B359A4">
      <w:pPr>
        <w:rPr>
          <w:color w:val="000000"/>
          <w:szCs w:val="20"/>
          <w:lang w:eastAsia="en-GB"/>
        </w:rPr>
      </w:pPr>
      <w:r>
        <w:rPr>
          <w:color w:val="000000"/>
          <w:szCs w:val="20"/>
          <w:lang w:eastAsia="en-GB"/>
        </w:rPr>
        <w:t>A final consideration would be an increase in the rate of interest at a later stage. Clearly, if interest rates rose significantly in the future and investment returns went down this would have a very negative effect if you needed to realise your investments to pay off the debt.</w:t>
      </w:r>
    </w:p>
    <w:p w14:paraId="75C30FB1" w14:textId="77777777" w:rsidR="00680D86" w:rsidRDefault="00680D86">
      <w:pPr>
        <w:rPr>
          <w:color w:val="000000"/>
          <w:szCs w:val="20"/>
          <w:lang w:eastAsia="en-GB"/>
        </w:rPr>
      </w:pPr>
    </w:p>
    <w:p w14:paraId="573E008C" w14:textId="77777777" w:rsidR="00680D86" w:rsidRDefault="00B359A4">
      <w:pPr>
        <w:rPr>
          <w:rStyle w:val="Strong"/>
        </w:rPr>
      </w:pPr>
      <w:r>
        <w:rPr>
          <w:rStyle w:val="Strong"/>
        </w:rPr>
        <w:t>Your capacity for loss</w:t>
      </w:r>
    </w:p>
    <w:p w14:paraId="00A7CF75" w14:textId="77777777" w:rsidR="00680D86" w:rsidRDefault="00680D86">
      <w:pPr>
        <w:rPr>
          <w:rStyle w:val="Strong"/>
        </w:rPr>
      </w:pPr>
    </w:p>
    <w:p w14:paraId="40CE71C1" w14:textId="77777777" w:rsidR="00680D86" w:rsidRDefault="00B359A4">
      <w:pPr>
        <w:rPr>
          <w:rStyle w:val="Strong"/>
          <w:b w:val="0"/>
        </w:rPr>
      </w:pPr>
      <w:r>
        <w:rPr>
          <w:rStyle w:val="Strong"/>
          <w:b w:val="0"/>
        </w:rPr>
        <w:t>Your capacity for loss could be summarised by how much you could lose without having a significant impact on your current and future standard of living.</w:t>
      </w:r>
    </w:p>
    <w:p w14:paraId="4AEEC012" w14:textId="77777777" w:rsidR="00680D86" w:rsidRDefault="00680D86">
      <w:pPr>
        <w:rPr>
          <w:rStyle w:val="Strong"/>
          <w:b w:val="0"/>
        </w:rPr>
      </w:pPr>
    </w:p>
    <w:p w14:paraId="444B585E" w14:textId="77777777" w:rsidR="00680D86" w:rsidRDefault="00B359A4">
      <w:pPr>
        <w:rPr>
          <w:rStyle w:val="Strong"/>
          <w:b w:val="0"/>
        </w:rPr>
      </w:pPr>
      <w:r>
        <w:rPr>
          <w:rStyle w:val="Strong"/>
          <w:b w:val="0"/>
        </w:rPr>
        <w:t>If your capacity for loss is very low you should consider reducing the risk associated with your portfolio. In all cases you should consider the downside risk of any investment you make and understand the potential range of outcomes.</w:t>
      </w:r>
    </w:p>
    <w:p w14:paraId="1989E238" w14:textId="77777777" w:rsidR="00680D86" w:rsidRDefault="00680D86">
      <w:pPr>
        <w:rPr>
          <w:rStyle w:val="Strong"/>
          <w:b w:val="0"/>
        </w:rPr>
      </w:pPr>
    </w:p>
    <w:p w14:paraId="59B8508A" w14:textId="77777777" w:rsidR="00680D86" w:rsidRDefault="00B359A4">
      <w:pPr>
        <w:rPr>
          <w:rStyle w:val="Strong"/>
          <w:b w:val="0"/>
        </w:rPr>
      </w:pPr>
      <w:r>
        <w:rPr>
          <w:rStyle w:val="Strong"/>
          <w:b w:val="0"/>
        </w:rPr>
        <w:t>Where you have significant sources of income which are not dependent on your capital, your capacity for loss would usually be very high and subject to your own tolerance for risk, a higher risk portfolio could give excellent returns over the longer term.</w:t>
      </w:r>
    </w:p>
    <w:p w14:paraId="0EF6A1F1" w14:textId="77777777" w:rsidR="00680D86" w:rsidRDefault="00680D86">
      <w:pPr>
        <w:rPr>
          <w:rStyle w:val="Strong"/>
        </w:rPr>
      </w:pPr>
    </w:p>
    <w:p w14:paraId="26AF4BEE" w14:textId="77777777" w:rsidR="00680D86" w:rsidRDefault="00B359A4">
      <w:pPr>
        <w:rPr>
          <w:rStyle w:val="Strong"/>
        </w:rPr>
      </w:pPr>
      <w:r>
        <w:rPr>
          <w:rStyle w:val="Strong"/>
        </w:rPr>
        <w:t>Investment liquidity</w:t>
      </w:r>
    </w:p>
    <w:p w14:paraId="2E00B7D6" w14:textId="77777777" w:rsidR="00680D86" w:rsidRDefault="00680D86"/>
    <w:p w14:paraId="6C99666E" w14:textId="77777777" w:rsidR="00680D86" w:rsidRDefault="00B359A4">
      <w:r>
        <w:t>If you need immediate access to your funds then taking any investment risk is usually not an option. By maintaining a suitable emergency fund, investments will be able to run for their term where risk would be naturally diluted. In some cases you may be able to maintain a cash base within an investment platform which may provide the desired liquidity but would be unlikely to provide a competitive rate of return over the long term.</w:t>
      </w:r>
    </w:p>
    <w:p w14:paraId="53FB740F" w14:textId="77777777" w:rsidR="00680D86" w:rsidRDefault="00B359A4">
      <w:pPr>
        <w:jc w:val="left"/>
        <w:rPr>
          <w:rFonts w:cs="Calibri"/>
          <w:szCs w:val="20"/>
          <w:lang w:eastAsia="en-GB"/>
        </w:rPr>
      </w:pPr>
      <w:r>
        <w:rPr>
          <w:rFonts w:cs="Calibri"/>
          <w:szCs w:val="20"/>
          <w:lang w:eastAsia="en-GB"/>
        </w:rPr>
        <w:br w:type="page"/>
      </w:r>
    </w:p>
    <w:p w14:paraId="70A04514" w14:textId="77777777" w:rsidR="00680D86" w:rsidRDefault="00B359A4">
      <w:pPr>
        <w:pStyle w:val="Heading2"/>
      </w:pPr>
      <w:bookmarkStart w:id="25" w:name="_Toc295207648"/>
      <w:bookmarkStart w:id="26" w:name="_Toc295208092"/>
      <w:r>
        <w:lastRenderedPageBreak/>
        <w:t>Limitations of this report</w:t>
      </w:r>
      <w:bookmarkEnd w:id="25"/>
      <w:bookmarkEnd w:id="26"/>
    </w:p>
    <w:p w14:paraId="4F87041B" w14:textId="77777777" w:rsidR="00680D86" w:rsidRDefault="00680D86"/>
    <w:p w14:paraId="09B552C2" w14:textId="77777777" w:rsidR="00680D86" w:rsidRDefault="00B359A4">
      <w:pPr>
        <w:rPr>
          <w:szCs w:val="20"/>
        </w:rPr>
      </w:pPr>
      <w:r>
        <w:rPr>
          <w:szCs w:val="20"/>
        </w:rPr>
        <w:t>This report uses financial data provided by FE Analytics which looks at historic performance over the last 20 years. There is no guarantee that any past performance can be replicated or relied upon. It is solely down to you and your adviser to use their skill in selecting the appropriate investments for you and your goals.</w:t>
      </w:r>
    </w:p>
    <w:p w14:paraId="0C3492E1" w14:textId="77777777" w:rsidR="00680D86" w:rsidRDefault="00680D86">
      <w:pPr>
        <w:rPr>
          <w:szCs w:val="20"/>
        </w:rPr>
      </w:pPr>
    </w:p>
    <w:p w14:paraId="57F37045" w14:textId="77777777" w:rsidR="00680D86" w:rsidRDefault="00B359A4">
      <w:pPr>
        <w:rPr>
          <w:rStyle w:val="Strong"/>
        </w:rPr>
      </w:pPr>
      <w:r>
        <w:rPr>
          <w:rStyle w:val="Strong"/>
        </w:rPr>
        <w:t>Strategic Asset Allocation vs. Tactical Asset allocation</w:t>
      </w:r>
    </w:p>
    <w:p w14:paraId="3126D930" w14:textId="77777777" w:rsidR="00680D86" w:rsidRDefault="00680D86">
      <w:pPr>
        <w:rPr>
          <w:szCs w:val="20"/>
        </w:rPr>
      </w:pPr>
    </w:p>
    <w:p w14:paraId="3A66E346" w14:textId="77777777" w:rsidR="00680D86" w:rsidRDefault="00B359A4">
      <w:pPr>
        <w:rPr>
          <w:szCs w:val="20"/>
        </w:rPr>
      </w:pPr>
      <w:r>
        <w:rPr>
          <w:szCs w:val="20"/>
        </w:rPr>
        <w:t>The data in this report looks at long term portfolio returns which are based on what we call ‘Strategic Asset Allocation’. A talented fund manager could in theory ‘read the market’ and go overweight (buy more) or underweight (buy less) of an asset class in order to maximum return or minimise risk. This is known as ‘Tactical Asset Allocation’ but in theory this might actually increase risk because they could of course get it wrong.</w:t>
      </w:r>
    </w:p>
    <w:p w14:paraId="1829D04B" w14:textId="77777777" w:rsidR="00680D86" w:rsidRDefault="00680D86">
      <w:pPr>
        <w:rPr>
          <w:szCs w:val="20"/>
        </w:rPr>
      </w:pPr>
    </w:p>
    <w:p w14:paraId="17289B40" w14:textId="77777777" w:rsidR="00680D86" w:rsidRDefault="00B359A4">
      <w:pPr>
        <w:rPr>
          <w:rStyle w:val="Strong"/>
        </w:rPr>
      </w:pPr>
      <w:r>
        <w:rPr>
          <w:rStyle w:val="Strong"/>
        </w:rPr>
        <w:t>Fund selection</w:t>
      </w:r>
    </w:p>
    <w:p w14:paraId="0BD89D1A" w14:textId="77777777" w:rsidR="00680D86" w:rsidRDefault="00680D86">
      <w:pPr>
        <w:rPr>
          <w:szCs w:val="20"/>
        </w:rPr>
      </w:pPr>
    </w:p>
    <w:p w14:paraId="100FA06D" w14:textId="77777777" w:rsidR="00680D86" w:rsidRDefault="00B359A4">
      <w:pPr>
        <w:rPr>
          <w:szCs w:val="20"/>
        </w:rPr>
      </w:pPr>
      <w:r>
        <w:rPr>
          <w:szCs w:val="20"/>
        </w:rPr>
        <w:t>The analysis of returns does not take good fund selection into account. It is the job of the adviser to select investment solutions which outperform the sector average used in this report. In theory, good fund selection should outperform the sector average but again the adviser could get this wrong and returns could be lower.</w:t>
      </w:r>
    </w:p>
    <w:p w14:paraId="428A2EFE" w14:textId="77777777" w:rsidR="00680D86" w:rsidRDefault="00680D86">
      <w:pPr>
        <w:pStyle w:val="ListParagraph"/>
        <w:ind w:left="360"/>
        <w:rPr>
          <w:szCs w:val="20"/>
        </w:rPr>
      </w:pPr>
    </w:p>
    <w:p w14:paraId="4A39A55B" w14:textId="77777777" w:rsidR="00680D86" w:rsidRDefault="00B359A4">
      <w:pPr>
        <w:rPr>
          <w:rStyle w:val="Strong"/>
        </w:rPr>
      </w:pPr>
      <w:r>
        <w:rPr>
          <w:rStyle w:val="Strong"/>
        </w:rPr>
        <w:t>Charges</w:t>
      </w:r>
    </w:p>
    <w:p w14:paraId="20898128" w14:textId="77777777" w:rsidR="00680D86" w:rsidRDefault="00680D86">
      <w:pPr>
        <w:rPr>
          <w:b/>
          <w:szCs w:val="20"/>
        </w:rPr>
      </w:pPr>
    </w:p>
    <w:p w14:paraId="562CA0FD" w14:textId="77777777" w:rsidR="00680D86" w:rsidRDefault="00B359A4">
      <w:pPr>
        <w:rPr>
          <w:szCs w:val="20"/>
        </w:rPr>
      </w:pPr>
      <w:r>
        <w:rPr>
          <w:szCs w:val="20"/>
        </w:rPr>
        <w:t>The charges used in this report assume that standard retail charges were applied within the funds that make up the underlying sectors. In theory, many of these funds would be available to your adviser at a significant discount which would increase return. Equally, any remuneration paid to your adviser from the fund would decrease returns.</w:t>
      </w:r>
    </w:p>
    <w:p w14:paraId="0928F25D" w14:textId="77777777" w:rsidR="00680D86" w:rsidRDefault="00680D86">
      <w:pPr>
        <w:rPr>
          <w:szCs w:val="20"/>
        </w:rPr>
      </w:pPr>
    </w:p>
    <w:p w14:paraId="02E69535" w14:textId="77777777" w:rsidR="00680D86" w:rsidRDefault="00B359A4">
      <w:pPr>
        <w:rPr>
          <w:rStyle w:val="Strong"/>
        </w:rPr>
      </w:pPr>
      <w:r>
        <w:rPr>
          <w:rStyle w:val="Strong"/>
        </w:rPr>
        <w:t>Unforeseen events</w:t>
      </w:r>
    </w:p>
    <w:p w14:paraId="62F6C74D" w14:textId="77777777" w:rsidR="00680D86" w:rsidRDefault="00680D86">
      <w:pPr>
        <w:rPr>
          <w:b/>
          <w:szCs w:val="20"/>
          <w:lang w:eastAsia="en-GB"/>
        </w:rPr>
      </w:pPr>
    </w:p>
    <w:p w14:paraId="3048C5E5" w14:textId="77777777" w:rsidR="00680D86" w:rsidRDefault="00B359A4">
      <w:r>
        <w:rPr>
          <w:szCs w:val="20"/>
          <w:lang w:eastAsia="en-GB"/>
        </w:rPr>
        <w:t xml:space="preserve">The effect of previous unforeseen events is clearly inherent in any past performance statistics. The question is how unforeseen events in the future will alter returns. World events such as </w:t>
      </w:r>
      <w:r>
        <w:rPr>
          <w:szCs w:val="20"/>
          <w:lang w:val="en-US"/>
        </w:rPr>
        <w:t>natural disaster, political unrest, terrorism and war have always presented a downside risk to your investments.</w:t>
      </w:r>
    </w:p>
    <w:p w14:paraId="72DCA267" w14:textId="77777777" w:rsidR="00680D86" w:rsidRDefault="00680D86">
      <w:pPr>
        <w:jc w:val="left"/>
      </w:pPr>
    </w:p>
    <w:p w14:paraId="154F3CCF" w14:textId="77777777" w:rsidR="00680D86" w:rsidRDefault="00B359A4">
      <w:pPr>
        <w:jc w:val="left"/>
      </w:pPr>
      <w:r>
        <w:br w:type="page"/>
      </w:r>
    </w:p>
    <w:p w14:paraId="1BDCA08D" w14:textId="77777777" w:rsidR="00680D86" w:rsidRDefault="00B359A4">
      <w:pPr>
        <w:pStyle w:val="Heading2"/>
      </w:pPr>
      <w:bookmarkStart w:id="27" w:name="_Toc295207649"/>
      <w:bookmarkStart w:id="28" w:name="_Toc295208093"/>
      <w:r>
        <w:lastRenderedPageBreak/>
        <w:t>Conclusion</w:t>
      </w:r>
      <w:bookmarkEnd w:id="27"/>
      <w:bookmarkEnd w:id="28"/>
    </w:p>
    <w:p w14:paraId="7A080268" w14:textId="77777777" w:rsidR="00680D86" w:rsidRDefault="00680D86">
      <w:pPr>
        <w:rPr>
          <w:rFonts w:cs="Calibri"/>
          <w:szCs w:val="20"/>
          <w:lang w:eastAsia="en-GB"/>
        </w:rPr>
      </w:pPr>
    </w:p>
    <w:p w14:paraId="20515109" w14:textId="77777777" w:rsidR="00680D86" w:rsidRDefault="00B359A4">
      <w:pPr>
        <w:rPr>
          <w:rFonts w:cs="Calibri"/>
          <w:szCs w:val="20"/>
          <w:lang w:eastAsia="en-GB"/>
        </w:rPr>
      </w:pPr>
      <w:r>
        <w:rPr>
          <w:rFonts w:cs="Calibri"/>
          <w:szCs w:val="20"/>
          <w:lang w:eastAsia="en-GB"/>
        </w:rPr>
        <w:t xml:space="preserve">This report has been prepared on the back of your risk questionnaire in which you scored </w:t>
      </w:r>
      <w:r>
        <w:rPr>
          <w:rFonts w:cs="Calibri"/>
          <w:b/>
          <w:szCs w:val="20"/>
          <w:lang w:eastAsia="en-GB"/>
        </w:rPr>
        <w:t>5</w:t>
      </w:r>
      <w:r>
        <w:rPr>
          <w:rFonts w:cs="Calibri"/>
          <w:szCs w:val="20"/>
          <w:lang w:eastAsia="en-GB"/>
        </w:rPr>
        <w:t xml:space="preserve"> and have been classed as a </w:t>
      </w:r>
      <w:r>
        <w:rPr>
          <w:rFonts w:cs="Calibri"/>
          <w:b/>
          <w:szCs w:val="20"/>
          <w:lang w:eastAsia="en-GB"/>
        </w:rPr>
        <w:t>Medium</w:t>
      </w:r>
      <w:r>
        <w:rPr>
          <w:rFonts w:cs="Calibri"/>
          <w:szCs w:val="20"/>
          <w:lang w:eastAsia="en-GB"/>
        </w:rPr>
        <w:t xml:space="preserve"> risk investor.</w:t>
      </w:r>
    </w:p>
    <w:p w14:paraId="6A9E867B" w14:textId="77777777" w:rsidR="00680D86" w:rsidRDefault="00680D86">
      <w:pPr>
        <w:rPr>
          <w:rFonts w:cs="Calibri"/>
          <w:szCs w:val="20"/>
          <w:lang w:eastAsia="en-GB"/>
        </w:rPr>
      </w:pPr>
    </w:p>
    <w:p w14:paraId="5E9A1012" w14:textId="77777777" w:rsidR="00680D86" w:rsidRDefault="00B359A4">
      <w:pPr>
        <w:rPr>
          <w:rFonts w:cs="Calibri"/>
          <w:szCs w:val="20"/>
          <w:lang w:eastAsia="en-GB"/>
        </w:rPr>
      </w:pPr>
      <w:r>
        <w:rPr>
          <w:rFonts w:cs="Calibri"/>
          <w:szCs w:val="20"/>
          <w:lang w:eastAsia="en-GB"/>
        </w:rPr>
        <w:t>After reading this report you may wish to decrease or increase risk depending on your own circumstances, length of time you have to invest or a change in attitudes.</w:t>
      </w:r>
    </w:p>
    <w:p w14:paraId="57677840" w14:textId="77777777" w:rsidR="00680D86" w:rsidRDefault="00680D86">
      <w:pPr>
        <w:rPr>
          <w:rFonts w:cs="Calibri"/>
          <w:szCs w:val="20"/>
          <w:lang w:eastAsia="en-GB"/>
        </w:rPr>
      </w:pPr>
    </w:p>
    <w:p w14:paraId="377D16CD" w14:textId="77777777" w:rsidR="00680D86" w:rsidRDefault="00B359A4">
      <w:pPr>
        <w:rPr>
          <w:rFonts w:cs="Calibri"/>
          <w:szCs w:val="20"/>
          <w:lang w:eastAsia="en-GB"/>
        </w:rPr>
      </w:pPr>
      <w:r>
        <w:rPr>
          <w:rFonts w:cs="Calibri"/>
          <w:szCs w:val="20"/>
          <w:lang w:eastAsia="en-GB"/>
        </w:rPr>
        <w:t>You may also wish to align a different risk to a certain objective and target a specific rate of return. We refer to this as ‘Goals Based Investing’.</w:t>
      </w:r>
    </w:p>
    <w:p w14:paraId="54E0915C" w14:textId="77777777" w:rsidR="00680D86" w:rsidRDefault="00680D86">
      <w:pPr>
        <w:rPr>
          <w:rFonts w:cs="Calibri"/>
          <w:szCs w:val="20"/>
          <w:lang w:eastAsia="en-GB"/>
        </w:rPr>
      </w:pPr>
    </w:p>
    <w:p w14:paraId="46355CEC" w14:textId="77777777" w:rsidR="00680D86" w:rsidRDefault="00B359A4">
      <w:pPr>
        <w:rPr>
          <w:rStyle w:val="Strong"/>
        </w:rPr>
      </w:pPr>
      <w:r>
        <w:rPr>
          <w:rStyle w:val="Strong"/>
        </w:rPr>
        <w:t>Would you like to alter your level of risk?</w:t>
      </w:r>
    </w:p>
    <w:p w14:paraId="083AB629" w14:textId="77777777" w:rsidR="00680D86" w:rsidRDefault="00680D86">
      <w:pPr>
        <w:rPr>
          <w:rFonts w:cs="Calibri"/>
          <w:b/>
          <w:szCs w:val="20"/>
          <w:lang w:eastAsia="en-GB"/>
        </w:rPr>
      </w:pPr>
    </w:p>
    <w:tbl>
      <w:tblPr>
        <w:tblW w:w="93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4678"/>
        <w:gridCol w:w="4678"/>
      </w:tblGrid>
      <w:tr w:rsidR="00680D86" w14:paraId="3733F7C2" w14:textId="77777777">
        <w:tc>
          <w:tcPr>
            <w:tcW w:w="4678" w:type="dxa"/>
            <w:shd w:val="clear" w:color="auto" w:fill="A6A6A6"/>
            <w:vAlign w:val="center"/>
          </w:tcPr>
          <w:p w14:paraId="4F6AF000" w14:textId="77777777" w:rsidR="00680D86" w:rsidRDefault="00B359A4">
            <w:pPr>
              <w:jc w:val="center"/>
              <w:rPr>
                <w:rFonts w:cs="Calibri"/>
                <w:b/>
                <w:szCs w:val="20"/>
                <w:lang w:eastAsia="en-GB"/>
              </w:rPr>
            </w:pPr>
            <w:r>
              <w:rPr>
                <w:rFonts w:cs="Calibri"/>
                <w:b/>
                <w:szCs w:val="20"/>
                <w:lang w:eastAsia="en-GB"/>
              </w:rPr>
              <w:t>Provisional overall risk Level</w:t>
            </w:r>
          </w:p>
        </w:tc>
        <w:tc>
          <w:tcPr>
            <w:tcW w:w="4678" w:type="dxa"/>
            <w:shd w:val="clear" w:color="auto" w:fill="A6A6A6"/>
            <w:vAlign w:val="center"/>
          </w:tcPr>
          <w:p w14:paraId="5486172D" w14:textId="77777777" w:rsidR="00680D86" w:rsidRDefault="00B359A4">
            <w:pPr>
              <w:jc w:val="center"/>
              <w:rPr>
                <w:rFonts w:cs="Calibri"/>
                <w:b/>
                <w:szCs w:val="20"/>
                <w:lang w:eastAsia="en-GB"/>
              </w:rPr>
            </w:pPr>
            <w:r>
              <w:rPr>
                <w:rFonts w:cs="Calibri"/>
                <w:b/>
                <w:szCs w:val="20"/>
                <w:lang w:eastAsia="en-GB"/>
              </w:rPr>
              <w:t>Your chosen risk level</w:t>
            </w:r>
          </w:p>
        </w:tc>
      </w:tr>
      <w:tr w:rsidR="00680D86" w14:paraId="79ED97E7" w14:textId="77777777">
        <w:trPr>
          <w:trHeight w:val="690"/>
        </w:trPr>
        <w:tc>
          <w:tcPr>
            <w:tcW w:w="4678" w:type="dxa"/>
            <w:vAlign w:val="center"/>
          </w:tcPr>
          <w:p w14:paraId="5FB4A238" w14:textId="77777777" w:rsidR="00680D86" w:rsidRDefault="00B359A4">
            <w:pPr>
              <w:jc w:val="center"/>
              <w:rPr>
                <w:rFonts w:cs="Calibri"/>
                <w:b/>
                <w:sz w:val="28"/>
                <w:szCs w:val="28"/>
                <w:lang w:eastAsia="en-GB"/>
              </w:rPr>
            </w:pPr>
            <w:r>
              <w:rPr>
                <w:rFonts w:cs="Calibri"/>
                <w:b/>
                <w:sz w:val="28"/>
                <w:szCs w:val="28"/>
                <w:lang w:eastAsia="en-GB"/>
              </w:rPr>
              <w:t>5</w:t>
            </w:r>
          </w:p>
        </w:tc>
        <w:tc>
          <w:tcPr>
            <w:tcW w:w="4678" w:type="dxa"/>
            <w:vAlign w:val="center"/>
          </w:tcPr>
          <w:p w14:paraId="2FC028E5" w14:textId="77777777" w:rsidR="00680D86" w:rsidRDefault="00B359A4">
            <w:pPr>
              <w:jc w:val="center"/>
              <w:rPr>
                <w:rFonts w:cs="Calibri"/>
                <w:b/>
                <w:sz w:val="28"/>
                <w:szCs w:val="28"/>
                <w:lang w:eastAsia="en-GB"/>
              </w:rPr>
            </w:pPr>
            <w:r>
              <w:rPr>
                <w:rFonts w:cs="Calibri"/>
                <w:b/>
                <w:sz w:val="28"/>
                <w:szCs w:val="28"/>
                <w:lang w:eastAsia="en-GB"/>
              </w:rPr>
              <w:t>5</w:t>
            </w:r>
          </w:p>
        </w:tc>
      </w:tr>
    </w:tbl>
    <w:p w14:paraId="2AE97A65" w14:textId="77777777" w:rsidR="00680D86" w:rsidRDefault="00680D86">
      <w:pPr>
        <w:rPr>
          <w:rFonts w:cs="Calibri"/>
          <w:b/>
          <w:szCs w:val="20"/>
          <w:lang w:eastAsia="en-GB"/>
        </w:rPr>
      </w:pPr>
    </w:p>
    <w:p w14:paraId="5A0949BC" w14:textId="77777777" w:rsidR="00680D86" w:rsidRDefault="00680D86">
      <w:pPr>
        <w:rPr>
          <w:rFonts w:cs="Calibri"/>
          <w:b/>
          <w:szCs w:val="20"/>
          <w:lang w:eastAsia="en-GB"/>
        </w:rPr>
      </w:pPr>
      <w:bookmarkStart w:id="29" w:name="RequiredRiskLevelBlock"/>
      <w:bookmarkStart w:id="30" w:name="RequiredRiskLevel"/>
    </w:p>
    <w:bookmarkEnd w:id="29"/>
    <w:bookmarkEnd w:id="30"/>
    <w:p w14:paraId="315E915B" w14:textId="77777777" w:rsidR="00680D86" w:rsidRDefault="00B359A4">
      <w:pPr>
        <w:jc w:val="left"/>
        <w:rPr>
          <w:rFonts w:cs="Calibri"/>
          <w:b/>
          <w:szCs w:val="20"/>
          <w:lang w:eastAsia="en-GB"/>
        </w:rPr>
      </w:pPr>
      <w:r>
        <w:rPr>
          <w:rFonts w:cs="Calibri"/>
          <w:b/>
          <w:szCs w:val="20"/>
          <w:lang w:eastAsia="en-GB"/>
        </w:rPr>
        <w:br w:type="page"/>
      </w:r>
    </w:p>
    <w:p w14:paraId="13FB24A8" w14:textId="77777777" w:rsidR="00680D86" w:rsidRDefault="00B359A4">
      <w:pPr>
        <w:rPr>
          <w:rStyle w:val="Strong"/>
        </w:rPr>
      </w:pPr>
      <w:r>
        <w:rPr>
          <w:rStyle w:val="Strong"/>
        </w:rPr>
        <w:lastRenderedPageBreak/>
        <w:t>Would you like to apply a different risk level to a specific goal?</w:t>
      </w:r>
    </w:p>
    <w:p w14:paraId="24B9F748" w14:textId="77777777" w:rsidR="00680D86" w:rsidRDefault="00680D86">
      <w:pPr>
        <w:rPr>
          <w:rStyle w:val="Strong"/>
        </w:rPr>
      </w:pPr>
    </w:p>
    <w:p w14:paraId="0D504C1E" w14:textId="77777777" w:rsidR="00680D86" w:rsidRDefault="00680D86">
      <w:pPr>
        <w:rPr>
          <w:rFonts w:cs="Calibri"/>
          <w:szCs w:val="20"/>
          <w:lang w:eastAsia="en-GB"/>
        </w:rPr>
      </w:pPr>
      <w:bookmarkStart w:id="31" w:name="GoalsTable"/>
    </w:p>
    <w:tbl>
      <w:tblPr>
        <w:tblW w:w="93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5841"/>
        <w:gridCol w:w="1729"/>
        <w:gridCol w:w="1786"/>
      </w:tblGrid>
      <w:tr w:rsidR="00680D86" w14:paraId="163674E6" w14:textId="77777777">
        <w:tc>
          <w:tcPr>
            <w:tcW w:w="5841" w:type="dxa"/>
            <w:shd w:val="clear" w:color="auto" w:fill="A6A6A6"/>
          </w:tcPr>
          <w:p w14:paraId="5C84CEE6" w14:textId="77777777" w:rsidR="00680D86" w:rsidRDefault="00B359A4">
            <w:pPr>
              <w:jc w:val="left"/>
              <w:rPr>
                <w:rFonts w:cs="Calibri"/>
                <w:b/>
                <w:szCs w:val="20"/>
                <w:lang w:eastAsia="en-GB"/>
              </w:rPr>
            </w:pPr>
            <w:r>
              <w:rPr>
                <w:rFonts w:cs="Calibri"/>
                <w:b/>
                <w:szCs w:val="20"/>
                <w:lang w:eastAsia="en-GB"/>
              </w:rPr>
              <w:t>Goal, objective or plan</w:t>
            </w:r>
          </w:p>
        </w:tc>
        <w:tc>
          <w:tcPr>
            <w:tcW w:w="1729" w:type="dxa"/>
            <w:shd w:val="clear" w:color="auto" w:fill="A6A6A6"/>
          </w:tcPr>
          <w:p w14:paraId="6E0229A4" w14:textId="77777777" w:rsidR="00680D86" w:rsidRDefault="00B359A4">
            <w:pPr>
              <w:jc w:val="center"/>
              <w:rPr>
                <w:rFonts w:cs="Calibri"/>
                <w:b/>
                <w:szCs w:val="20"/>
                <w:lang w:eastAsia="en-GB"/>
              </w:rPr>
            </w:pPr>
            <w:r>
              <w:rPr>
                <w:rFonts w:cs="Calibri"/>
                <w:b/>
                <w:szCs w:val="20"/>
                <w:lang w:eastAsia="en-GB"/>
              </w:rPr>
              <w:t>Time Horizon (yrs)</w:t>
            </w:r>
          </w:p>
        </w:tc>
        <w:tc>
          <w:tcPr>
            <w:tcW w:w="1786" w:type="dxa"/>
            <w:shd w:val="clear" w:color="auto" w:fill="A6A6A6"/>
          </w:tcPr>
          <w:p w14:paraId="64045B7B" w14:textId="77777777" w:rsidR="00680D86" w:rsidRDefault="00B359A4">
            <w:pPr>
              <w:jc w:val="center"/>
              <w:rPr>
                <w:rFonts w:cs="Calibri"/>
                <w:b/>
                <w:szCs w:val="20"/>
                <w:lang w:eastAsia="en-GB"/>
              </w:rPr>
            </w:pPr>
            <w:r>
              <w:rPr>
                <w:rFonts w:cs="Calibri"/>
                <w:b/>
                <w:szCs w:val="20"/>
                <w:lang w:eastAsia="en-GB"/>
              </w:rPr>
              <w:t>Agreed risk level</w:t>
            </w:r>
          </w:p>
        </w:tc>
      </w:tr>
      <w:tr w:rsidR="00680D86" w14:paraId="09F275BF" w14:textId="77777777">
        <w:trPr>
          <w:trHeight w:val="691"/>
        </w:trPr>
        <w:tc>
          <w:tcPr>
            <w:tcW w:w="5841" w:type="dxa"/>
            <w:vAlign w:val="center"/>
          </w:tcPr>
          <w:p w14:paraId="422F4EA8" w14:textId="77777777" w:rsidR="00680D86" w:rsidRDefault="00680D86">
            <w:pPr>
              <w:rPr>
                <w:rFonts w:cs="Calibri"/>
                <w:szCs w:val="20"/>
                <w:lang w:eastAsia="en-GB"/>
              </w:rPr>
            </w:pPr>
          </w:p>
        </w:tc>
        <w:tc>
          <w:tcPr>
            <w:tcW w:w="1729" w:type="dxa"/>
            <w:vAlign w:val="center"/>
          </w:tcPr>
          <w:p w14:paraId="2BE9583A" w14:textId="77777777" w:rsidR="00680D86" w:rsidRDefault="00680D86">
            <w:pPr>
              <w:jc w:val="center"/>
              <w:rPr>
                <w:rFonts w:cs="Calibri"/>
                <w:b/>
                <w:szCs w:val="20"/>
                <w:lang w:eastAsia="en-GB"/>
              </w:rPr>
            </w:pPr>
          </w:p>
        </w:tc>
        <w:tc>
          <w:tcPr>
            <w:tcW w:w="1786" w:type="dxa"/>
            <w:vAlign w:val="center"/>
          </w:tcPr>
          <w:p w14:paraId="31EA70B4" w14:textId="77777777" w:rsidR="00680D86" w:rsidRDefault="00680D86">
            <w:pPr>
              <w:jc w:val="center"/>
              <w:rPr>
                <w:rFonts w:cs="Calibri"/>
                <w:b/>
                <w:szCs w:val="20"/>
                <w:lang w:eastAsia="en-GB"/>
              </w:rPr>
            </w:pPr>
          </w:p>
        </w:tc>
      </w:tr>
      <w:tr w:rsidR="00680D86" w14:paraId="35E6C073" w14:textId="77777777">
        <w:trPr>
          <w:trHeight w:val="691"/>
        </w:trPr>
        <w:tc>
          <w:tcPr>
            <w:tcW w:w="5841" w:type="dxa"/>
            <w:vAlign w:val="center"/>
          </w:tcPr>
          <w:p w14:paraId="359BD763" w14:textId="77777777" w:rsidR="00680D86" w:rsidRDefault="00680D86">
            <w:pPr>
              <w:rPr>
                <w:rFonts w:cs="Calibri"/>
                <w:szCs w:val="20"/>
                <w:lang w:eastAsia="en-GB"/>
              </w:rPr>
            </w:pPr>
          </w:p>
        </w:tc>
        <w:tc>
          <w:tcPr>
            <w:tcW w:w="1729" w:type="dxa"/>
            <w:vAlign w:val="center"/>
          </w:tcPr>
          <w:p w14:paraId="36A2B0E1" w14:textId="77777777" w:rsidR="00680D86" w:rsidRDefault="00680D86">
            <w:pPr>
              <w:jc w:val="center"/>
              <w:rPr>
                <w:rFonts w:cs="Calibri"/>
                <w:b/>
                <w:szCs w:val="20"/>
                <w:lang w:eastAsia="en-GB"/>
              </w:rPr>
            </w:pPr>
          </w:p>
        </w:tc>
        <w:tc>
          <w:tcPr>
            <w:tcW w:w="1786" w:type="dxa"/>
            <w:vAlign w:val="center"/>
          </w:tcPr>
          <w:p w14:paraId="1A687F42" w14:textId="77777777" w:rsidR="00680D86" w:rsidRDefault="00680D86">
            <w:pPr>
              <w:jc w:val="center"/>
              <w:rPr>
                <w:rFonts w:cs="Calibri"/>
                <w:b/>
                <w:szCs w:val="20"/>
                <w:lang w:eastAsia="en-GB"/>
              </w:rPr>
            </w:pPr>
          </w:p>
        </w:tc>
      </w:tr>
      <w:tr w:rsidR="00680D86" w14:paraId="717D60CA" w14:textId="77777777">
        <w:trPr>
          <w:trHeight w:val="691"/>
        </w:trPr>
        <w:tc>
          <w:tcPr>
            <w:tcW w:w="5841" w:type="dxa"/>
            <w:vAlign w:val="center"/>
          </w:tcPr>
          <w:p w14:paraId="7071BB77" w14:textId="77777777" w:rsidR="00680D86" w:rsidRDefault="00680D86">
            <w:pPr>
              <w:rPr>
                <w:rFonts w:cs="Calibri"/>
                <w:szCs w:val="20"/>
                <w:lang w:eastAsia="en-GB"/>
              </w:rPr>
            </w:pPr>
          </w:p>
        </w:tc>
        <w:tc>
          <w:tcPr>
            <w:tcW w:w="1729" w:type="dxa"/>
            <w:vAlign w:val="center"/>
          </w:tcPr>
          <w:p w14:paraId="5631AD34" w14:textId="77777777" w:rsidR="00680D86" w:rsidRDefault="00680D86">
            <w:pPr>
              <w:jc w:val="center"/>
              <w:rPr>
                <w:rFonts w:cs="Calibri"/>
                <w:b/>
                <w:szCs w:val="20"/>
                <w:lang w:eastAsia="en-GB"/>
              </w:rPr>
            </w:pPr>
          </w:p>
        </w:tc>
        <w:tc>
          <w:tcPr>
            <w:tcW w:w="1786" w:type="dxa"/>
            <w:vAlign w:val="center"/>
          </w:tcPr>
          <w:p w14:paraId="4ACE9029" w14:textId="77777777" w:rsidR="00680D86" w:rsidRDefault="00680D86">
            <w:pPr>
              <w:jc w:val="center"/>
              <w:rPr>
                <w:rFonts w:cs="Calibri"/>
                <w:b/>
                <w:szCs w:val="20"/>
                <w:lang w:eastAsia="en-GB"/>
              </w:rPr>
            </w:pPr>
          </w:p>
        </w:tc>
      </w:tr>
      <w:tr w:rsidR="00680D86" w14:paraId="338343DF" w14:textId="77777777">
        <w:trPr>
          <w:trHeight w:val="691"/>
        </w:trPr>
        <w:tc>
          <w:tcPr>
            <w:tcW w:w="5841" w:type="dxa"/>
            <w:vAlign w:val="center"/>
          </w:tcPr>
          <w:p w14:paraId="71F714CC" w14:textId="77777777" w:rsidR="00680D86" w:rsidRDefault="00680D86">
            <w:pPr>
              <w:rPr>
                <w:rFonts w:cs="Calibri"/>
                <w:szCs w:val="20"/>
                <w:lang w:eastAsia="en-GB"/>
              </w:rPr>
            </w:pPr>
          </w:p>
        </w:tc>
        <w:tc>
          <w:tcPr>
            <w:tcW w:w="1729" w:type="dxa"/>
            <w:vAlign w:val="center"/>
          </w:tcPr>
          <w:p w14:paraId="2EE5DA36" w14:textId="77777777" w:rsidR="00680D86" w:rsidRDefault="00680D86">
            <w:pPr>
              <w:jc w:val="center"/>
              <w:rPr>
                <w:rFonts w:cs="Calibri"/>
                <w:b/>
                <w:szCs w:val="20"/>
                <w:lang w:eastAsia="en-GB"/>
              </w:rPr>
            </w:pPr>
          </w:p>
        </w:tc>
        <w:tc>
          <w:tcPr>
            <w:tcW w:w="1786" w:type="dxa"/>
            <w:vAlign w:val="center"/>
          </w:tcPr>
          <w:p w14:paraId="42F10616" w14:textId="77777777" w:rsidR="00680D86" w:rsidRDefault="00680D86">
            <w:pPr>
              <w:jc w:val="center"/>
              <w:rPr>
                <w:rFonts w:cs="Calibri"/>
                <w:b/>
                <w:szCs w:val="20"/>
                <w:lang w:eastAsia="en-GB"/>
              </w:rPr>
            </w:pPr>
          </w:p>
        </w:tc>
      </w:tr>
      <w:tr w:rsidR="00680D86" w14:paraId="5E9340FF" w14:textId="77777777">
        <w:trPr>
          <w:trHeight w:val="691"/>
        </w:trPr>
        <w:tc>
          <w:tcPr>
            <w:tcW w:w="5841" w:type="dxa"/>
            <w:vAlign w:val="center"/>
          </w:tcPr>
          <w:p w14:paraId="4DCF9F99" w14:textId="77777777" w:rsidR="00680D86" w:rsidRDefault="00680D86">
            <w:pPr>
              <w:rPr>
                <w:rFonts w:cs="Calibri"/>
                <w:szCs w:val="20"/>
                <w:lang w:eastAsia="en-GB"/>
              </w:rPr>
            </w:pPr>
          </w:p>
        </w:tc>
        <w:tc>
          <w:tcPr>
            <w:tcW w:w="1729" w:type="dxa"/>
            <w:vAlign w:val="center"/>
          </w:tcPr>
          <w:p w14:paraId="312A8567" w14:textId="77777777" w:rsidR="00680D86" w:rsidRDefault="00680D86">
            <w:pPr>
              <w:jc w:val="center"/>
              <w:rPr>
                <w:rFonts w:cs="Calibri"/>
                <w:b/>
                <w:szCs w:val="20"/>
                <w:lang w:eastAsia="en-GB"/>
              </w:rPr>
            </w:pPr>
          </w:p>
        </w:tc>
        <w:tc>
          <w:tcPr>
            <w:tcW w:w="1786" w:type="dxa"/>
            <w:vAlign w:val="center"/>
          </w:tcPr>
          <w:p w14:paraId="474C8B92" w14:textId="77777777" w:rsidR="00680D86" w:rsidRDefault="00680D86">
            <w:pPr>
              <w:jc w:val="center"/>
              <w:rPr>
                <w:rFonts w:cs="Calibri"/>
                <w:b/>
                <w:szCs w:val="20"/>
                <w:lang w:eastAsia="en-GB"/>
              </w:rPr>
            </w:pPr>
          </w:p>
        </w:tc>
      </w:tr>
    </w:tbl>
    <w:p w14:paraId="52315220" w14:textId="77777777" w:rsidR="00680D86" w:rsidRDefault="00680D86">
      <w:pPr>
        <w:rPr>
          <w:rFonts w:cs="Calibri"/>
          <w:szCs w:val="20"/>
          <w:lang w:eastAsia="en-GB"/>
        </w:rPr>
      </w:pPr>
    </w:p>
    <w:bookmarkEnd w:id="31"/>
    <w:p w14:paraId="49286726" w14:textId="77777777" w:rsidR="00680D86" w:rsidRDefault="00B359A4">
      <w:pPr>
        <w:rPr>
          <w:rStyle w:val="Strong"/>
        </w:rPr>
      </w:pPr>
      <w:r>
        <w:rPr>
          <w:rStyle w:val="Strong"/>
        </w:rPr>
        <w:t>Notes:</w:t>
      </w:r>
    </w:p>
    <w:p w14:paraId="2E09E842" w14:textId="77777777" w:rsidR="00680D86" w:rsidRDefault="00680D86">
      <w:pPr>
        <w:rPr>
          <w:rFonts w:cs="Calibri"/>
          <w:szCs w:val="20"/>
        </w:rPr>
      </w:pPr>
    </w:p>
    <w:tbl>
      <w:tblPr>
        <w:tblW w:w="935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Look w:val="04A0" w:firstRow="1" w:lastRow="0" w:firstColumn="1" w:lastColumn="0" w:noHBand="0" w:noVBand="1"/>
      </w:tblPr>
      <w:tblGrid>
        <w:gridCol w:w="9356"/>
      </w:tblGrid>
      <w:tr w:rsidR="00680D86" w14:paraId="3F1AC103" w14:textId="77777777">
        <w:trPr>
          <w:trHeight w:val="6726"/>
        </w:trPr>
        <w:tc>
          <w:tcPr>
            <w:tcW w:w="9356" w:type="dxa"/>
          </w:tcPr>
          <w:p w14:paraId="4D200271" w14:textId="77777777" w:rsidR="00680D86" w:rsidRDefault="00B359A4">
            <w:pPr>
              <w:rPr>
                <w:b/>
                <w:szCs w:val="20"/>
                <w:lang w:eastAsia="en-GB"/>
              </w:rPr>
            </w:pPr>
            <w:r>
              <w:rPr>
                <w:b/>
                <w:szCs w:val="20"/>
                <w:lang w:eastAsia="en-GB"/>
              </w:rPr>
              <w:t>Notes from original Questionnaire</w:t>
            </w:r>
          </w:p>
          <w:p w14:paraId="600A9A6A" w14:textId="77777777" w:rsidR="00680D86" w:rsidRDefault="00680D86">
            <w:pPr>
              <w:rPr>
                <w:rFonts w:cs="Calibri"/>
                <w:szCs w:val="20"/>
                <w:lang w:eastAsia="en-GB"/>
              </w:rPr>
            </w:pPr>
          </w:p>
          <w:p w14:paraId="11D2CDE5" w14:textId="77777777" w:rsidR="00680D86" w:rsidRDefault="00680D86">
            <w:pPr>
              <w:rPr>
                <w:rFonts w:cs="Calibri"/>
                <w:szCs w:val="20"/>
                <w:lang w:eastAsia="en-GB"/>
              </w:rPr>
            </w:pPr>
          </w:p>
          <w:p w14:paraId="5F31878E" w14:textId="77777777" w:rsidR="00680D86" w:rsidRDefault="00B359A4">
            <w:pPr>
              <w:rPr>
                <w:b/>
                <w:szCs w:val="20"/>
                <w:lang w:eastAsia="en-GB"/>
              </w:rPr>
            </w:pPr>
            <w:r>
              <w:rPr>
                <w:b/>
                <w:szCs w:val="20"/>
                <w:lang w:eastAsia="en-GB"/>
              </w:rPr>
              <w:t>Notes from this full report</w:t>
            </w:r>
          </w:p>
          <w:p w14:paraId="0A2A49BA" w14:textId="77777777" w:rsidR="00680D86" w:rsidRDefault="00680D86">
            <w:pPr>
              <w:rPr>
                <w:rFonts w:cs="Calibri"/>
                <w:szCs w:val="20"/>
                <w:lang w:eastAsia="en-GB"/>
              </w:rPr>
            </w:pPr>
          </w:p>
          <w:p w14:paraId="135B10B5" w14:textId="77777777" w:rsidR="00680D86" w:rsidRDefault="00B359A4">
            <w:pPr>
              <w:rPr>
                <w:rFonts w:cs="Calibri"/>
                <w:szCs w:val="20"/>
                <w:lang w:eastAsia="en-GB"/>
              </w:rPr>
            </w:pPr>
            <w:r>
              <w:rPr>
                <w:rFonts w:cs="Calibri"/>
                <w:szCs w:val="20"/>
                <w:lang w:eastAsia="en-GB"/>
              </w:rPr>
              <w:t xml:space="preserve">Richard has been invested in the market for well over 15 years and take a keen interest. He wants to grow his wealth and would like to receive high returns. However, until funds materialise from the sale of his business he knows he has limited capacity for loss. He is therefore happy to adopt a medium risk profile for the funds he has within his SIPP to meet his income requirements. He wants to at least try to keep pace with longer term inflation. </w:t>
            </w:r>
          </w:p>
          <w:p w14:paraId="279CA2B5" w14:textId="77777777" w:rsidR="00680D86" w:rsidRDefault="00B359A4">
            <w:pPr>
              <w:rPr>
                <w:rFonts w:cs="Calibri"/>
                <w:szCs w:val="20"/>
                <w:lang w:eastAsia="en-GB"/>
              </w:rPr>
            </w:pPr>
            <w:r>
              <w:rPr>
                <w:rFonts w:cs="Calibri"/>
                <w:szCs w:val="20"/>
                <w:lang w:eastAsia="en-GB"/>
              </w:rPr>
              <w:t>25.2.25- We discussed his Risk profile at length. He has seen the returns generated on his SIPP and would feel comfortable increasing his risk profile. However until the business is sold or he confirms that he will derive an income from dividends in the future he has limited capacity for loss and is reliant on his pension to meet most income needs. It is for this reason he agreed to remain on the current risk mandate of 5 and stay invested in the current investment strategy. Th main reason for increasing ri</w:t>
            </w:r>
            <w:r>
              <w:rPr>
                <w:rFonts w:cs="Calibri"/>
                <w:szCs w:val="20"/>
                <w:lang w:eastAsia="en-GB"/>
              </w:rPr>
              <w:t xml:space="preserve">sk would be to generate enhanced returns above inflation and the current risk mandate achieves this. </w:t>
            </w:r>
          </w:p>
        </w:tc>
      </w:tr>
    </w:tbl>
    <w:p w14:paraId="006B5FF8" w14:textId="77777777" w:rsidR="00680D86" w:rsidRDefault="00680D86">
      <w:pPr>
        <w:rPr>
          <w:rFonts w:cs="Calibri"/>
          <w:szCs w:val="20"/>
          <w:lang w:eastAsia="en-GB"/>
        </w:rPr>
      </w:pPr>
    </w:p>
    <w:p w14:paraId="324D5256" w14:textId="77777777" w:rsidR="00680D86" w:rsidRDefault="00680D86">
      <w:pPr>
        <w:rPr>
          <w:rFonts w:cs="Calibri"/>
          <w:szCs w:val="20"/>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Look w:val="04A0" w:firstRow="1" w:lastRow="0" w:firstColumn="1" w:lastColumn="0" w:noHBand="0" w:noVBand="1"/>
      </w:tblPr>
      <w:tblGrid>
        <w:gridCol w:w="1641"/>
        <w:gridCol w:w="7234"/>
      </w:tblGrid>
      <w:tr w:rsidR="00680D86" w14:paraId="448DE41D" w14:textId="77777777">
        <w:trPr>
          <w:trHeight w:val="1134"/>
        </w:trPr>
        <w:tc>
          <w:tcPr>
            <w:tcW w:w="1667" w:type="dxa"/>
            <w:shd w:val="clear" w:color="auto" w:fill="A6A6A6"/>
            <w:vAlign w:val="center"/>
          </w:tcPr>
          <w:p w14:paraId="5B5C6B48" w14:textId="77777777" w:rsidR="00680D86" w:rsidRDefault="00B359A4">
            <w:pPr>
              <w:rPr>
                <w:rFonts w:cs="Calibri"/>
                <w:szCs w:val="20"/>
                <w:lang w:eastAsia="en-GB"/>
              </w:rPr>
            </w:pPr>
            <w:r>
              <w:rPr>
                <w:rStyle w:val="Strong"/>
              </w:rPr>
              <w:lastRenderedPageBreak/>
              <w:t>Name(s)</w:t>
            </w:r>
          </w:p>
        </w:tc>
        <w:tc>
          <w:tcPr>
            <w:tcW w:w="7689" w:type="dxa"/>
            <w:vAlign w:val="center"/>
          </w:tcPr>
          <w:p w14:paraId="038C9DC9" w14:textId="77777777" w:rsidR="00680D86" w:rsidRDefault="00B359A4">
            <w:pPr>
              <w:rPr>
                <w:rFonts w:cs="Calibri"/>
                <w:szCs w:val="20"/>
                <w:lang w:eastAsia="en-GB"/>
              </w:rPr>
            </w:pPr>
            <w:r>
              <w:rPr>
                <w:rFonts w:cs="Calibri"/>
                <w:szCs w:val="20"/>
                <w:lang w:eastAsia="en-GB"/>
              </w:rPr>
              <w:t>Richard Painter</w:t>
            </w:r>
          </w:p>
        </w:tc>
      </w:tr>
      <w:tr w:rsidR="00680D86" w14:paraId="5962C466" w14:textId="77777777">
        <w:trPr>
          <w:trHeight w:val="1134"/>
        </w:trPr>
        <w:tc>
          <w:tcPr>
            <w:tcW w:w="1667" w:type="dxa"/>
            <w:shd w:val="clear" w:color="auto" w:fill="A6A6A6"/>
            <w:vAlign w:val="center"/>
          </w:tcPr>
          <w:p w14:paraId="1274F9F0" w14:textId="77777777" w:rsidR="00680D86" w:rsidRDefault="00B359A4">
            <w:pPr>
              <w:rPr>
                <w:rStyle w:val="Strong"/>
              </w:rPr>
            </w:pPr>
            <w:r>
              <w:rPr>
                <w:rStyle w:val="Strong"/>
              </w:rPr>
              <w:t>Signature(s)</w:t>
            </w:r>
          </w:p>
        </w:tc>
        <w:tc>
          <w:tcPr>
            <w:tcW w:w="7689" w:type="dxa"/>
            <w:vAlign w:val="center"/>
          </w:tcPr>
          <w:p w14:paraId="2CA53804" w14:textId="77777777" w:rsidR="00680D86" w:rsidRDefault="00680D86">
            <w:pPr>
              <w:rPr>
                <w:rFonts w:cs="Calibri"/>
                <w:szCs w:val="20"/>
                <w:lang w:eastAsia="en-GB"/>
              </w:rPr>
            </w:pPr>
          </w:p>
        </w:tc>
      </w:tr>
      <w:tr w:rsidR="00680D86" w14:paraId="2751F96A" w14:textId="77777777">
        <w:trPr>
          <w:trHeight w:val="1134"/>
        </w:trPr>
        <w:tc>
          <w:tcPr>
            <w:tcW w:w="1667" w:type="dxa"/>
            <w:shd w:val="clear" w:color="auto" w:fill="A6A6A6"/>
            <w:vAlign w:val="center"/>
          </w:tcPr>
          <w:p w14:paraId="3D1559D1" w14:textId="77777777" w:rsidR="00680D86" w:rsidRDefault="00B359A4">
            <w:pPr>
              <w:rPr>
                <w:rStyle w:val="Strong"/>
              </w:rPr>
            </w:pPr>
            <w:r>
              <w:rPr>
                <w:rStyle w:val="Strong"/>
              </w:rPr>
              <w:t>Date</w:t>
            </w:r>
          </w:p>
        </w:tc>
        <w:tc>
          <w:tcPr>
            <w:tcW w:w="7689" w:type="dxa"/>
            <w:vAlign w:val="center"/>
          </w:tcPr>
          <w:p w14:paraId="77237BD1" w14:textId="77777777" w:rsidR="00680D86" w:rsidRDefault="00B359A4">
            <w:pPr>
              <w:rPr>
                <w:rFonts w:cs="Calibri"/>
                <w:szCs w:val="20"/>
                <w:lang w:eastAsia="en-GB"/>
              </w:rPr>
            </w:pPr>
            <w:r>
              <w:rPr>
                <w:rFonts w:cs="Calibri"/>
                <w:szCs w:val="20"/>
                <w:lang w:eastAsia="en-GB"/>
              </w:rPr>
              <w:t>22-Apr-2025</w:t>
            </w:r>
          </w:p>
        </w:tc>
      </w:tr>
    </w:tbl>
    <w:p w14:paraId="0EDA0DFC" w14:textId="77777777" w:rsidR="00680D86" w:rsidRDefault="00680D86">
      <w:pPr>
        <w:rPr>
          <w:rFonts w:cs="Calibri"/>
          <w:szCs w:val="20"/>
          <w:lang w:eastAsia="en-GB"/>
        </w:rPr>
      </w:pPr>
      <w:bookmarkStart w:id="32" w:name="RiskLevelSlider"/>
      <w:bookmarkEnd w:id="32"/>
    </w:p>
    <w:p w14:paraId="5E57320B" w14:textId="77777777" w:rsidR="00680D86" w:rsidRDefault="00680D86"/>
    <w:p w14:paraId="5227C45C" w14:textId="77777777" w:rsidR="00680D86" w:rsidRDefault="00680D86"/>
    <w:p w14:paraId="5AA4DAA2" w14:textId="77777777" w:rsidR="00680D86" w:rsidRDefault="00680D86"/>
    <w:p w14:paraId="01645132" w14:textId="77777777" w:rsidR="00680D86" w:rsidRDefault="00680D86"/>
    <w:sectPr w:rsidR="00680D86">
      <w:footerReference w:type="default" r:id="rId26"/>
      <w:pgSz w:w="11907" w:h="16839"/>
      <w:pgMar w:top="1276"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4F4FE" w14:textId="77777777" w:rsidR="00B359A4" w:rsidRDefault="00B359A4">
      <w:r>
        <w:separator/>
      </w:r>
    </w:p>
  </w:endnote>
  <w:endnote w:type="continuationSeparator" w:id="0">
    <w:p w14:paraId="30D1B9E3" w14:textId="77777777" w:rsidR="00B359A4" w:rsidRDefault="00B35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CEFBC" w14:textId="77777777" w:rsidR="00680D86" w:rsidRDefault="00B359A4">
    <w:pPr>
      <w:pStyle w:val="Footer"/>
      <w:pBdr>
        <w:top w:val="single" w:sz="4" w:space="1" w:color="D9D9D9"/>
      </w:pBdr>
      <w:jc w:val="right"/>
      <w:rPr>
        <w:color w:val="A6A6A6"/>
        <w:sz w:val="18"/>
        <w:szCs w:val="18"/>
      </w:rPr>
    </w:pPr>
    <w:r>
      <w:rPr>
        <w:color w:val="A6A6A6"/>
        <w:sz w:val="18"/>
        <w:szCs w:val="18"/>
      </w:rPr>
      <w:t xml:space="preserve">Page </w:t>
    </w:r>
    <w:sdt>
      <w:sdtPr>
        <w:rPr>
          <w:color w:val="A6A6A6"/>
          <w:sz w:val="18"/>
          <w:szCs w:val="18"/>
        </w:rPr>
        <w:id w:val="610312239"/>
        <w:docPartObj>
          <w:docPartGallery w:val="Page Numbers (Bottom of Page)"/>
          <w:docPartUnique/>
        </w:docPartObj>
      </w:sdtPr>
      <w:sdtEndPr>
        <w:rPr>
          <w:spacing w:val="60"/>
        </w:rPr>
      </w:sdtEndPr>
      <w:sdtContent>
        <w:r>
          <w:rPr>
            <w:color w:val="A6A6A6"/>
            <w:sz w:val="18"/>
            <w:szCs w:val="18"/>
          </w:rPr>
          <w:fldChar w:fldCharType="begin"/>
        </w:r>
        <w:r>
          <w:rPr>
            <w:color w:val="A6A6A6"/>
            <w:sz w:val="18"/>
            <w:szCs w:val="18"/>
          </w:rPr>
          <w:instrText xml:space="preserve"> PAGE   \* MERGEFORMAT </w:instrText>
        </w:r>
        <w:r>
          <w:rPr>
            <w:color w:val="A6A6A6"/>
            <w:sz w:val="18"/>
            <w:szCs w:val="18"/>
          </w:rPr>
          <w:fldChar w:fldCharType="separate"/>
        </w:r>
        <w:r>
          <w:rPr>
            <w:noProof/>
            <w:color w:val="A6A6A6"/>
            <w:sz w:val="18"/>
            <w:szCs w:val="18"/>
          </w:rPr>
          <w:t>7</w:t>
        </w:r>
        <w:r>
          <w:rPr>
            <w:color w:val="A6A6A6"/>
            <w:sz w:val="18"/>
            <w:szCs w:val="18"/>
          </w:rPr>
          <w:fldChar w:fldCharType="end"/>
        </w:r>
      </w:sdtContent>
    </w:sdt>
  </w:p>
  <w:p w14:paraId="0B45C8F4" w14:textId="77777777" w:rsidR="00680D86" w:rsidRDefault="00680D86">
    <w:pPr>
      <w:pStyle w:val="Foote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A5E78" w14:textId="77777777" w:rsidR="00B359A4" w:rsidRDefault="00B359A4">
      <w:r>
        <w:separator/>
      </w:r>
    </w:p>
  </w:footnote>
  <w:footnote w:type="continuationSeparator" w:id="0">
    <w:p w14:paraId="273F10C7" w14:textId="77777777" w:rsidR="00B359A4" w:rsidRDefault="00B35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E97279"/>
    <w:multiLevelType w:val="multilevel"/>
    <w:tmpl w:val="4EC8C870"/>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232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86"/>
    <w:rsid w:val="00170BF4"/>
    <w:rsid w:val="00680D86"/>
    <w:rsid w:val="00B35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254A"/>
  <w15:docId w15:val="{A326579D-7EAE-4C31-BECC-A7B918AB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both"/>
    </w:pPr>
    <w:rPr>
      <w:rFonts w:eastAsia="Times New Roman" w:cs="Times New Roman"/>
      <w:sz w:val="20"/>
      <w:szCs w:val="24"/>
    </w:rPr>
  </w:style>
  <w:style w:type="paragraph" w:styleId="Heading1">
    <w:name w:val="heading 1"/>
    <w:basedOn w:val="Normal"/>
    <w:next w:val="Normal"/>
    <w:link w:val="Heading1Char"/>
    <w:uiPriority w:val="9"/>
    <w:qFormat/>
    <w:pPr>
      <w:outlineLvl w:val="0"/>
    </w:pPr>
    <w:rPr>
      <w:rFonts w:cs="Calibri"/>
      <w:b/>
      <w:bCs/>
      <w:color w:val="004078"/>
      <w:sz w:val="44"/>
      <w:szCs w:val="44"/>
    </w:rPr>
  </w:style>
  <w:style w:type="paragraph" w:styleId="Heading2">
    <w:name w:val="heading 2"/>
    <w:basedOn w:val="Normal"/>
    <w:next w:val="Normal"/>
    <w:link w:val="Heading2Char"/>
    <w:uiPriority w:val="9"/>
    <w:unhideWhenUsed/>
    <w:qFormat/>
    <w:pPr>
      <w:keepNext/>
      <w:keepLines/>
      <w:numPr>
        <w:numId w:val="1"/>
      </w:numPr>
      <w:spacing w:before="200"/>
      <w:ind w:left="360"/>
      <w:jc w:val="left"/>
      <w:outlineLvl w:val="1"/>
    </w:pPr>
    <w:rPr>
      <w:b/>
      <w:bCs/>
      <w:color w:val="004078"/>
      <w:sz w:val="28"/>
      <w:szCs w:val="26"/>
    </w:rPr>
  </w:style>
  <w:style w:type="paragraph" w:styleId="Heading4">
    <w:name w:val="heading 4"/>
    <w:basedOn w:val="Normal"/>
    <w:next w:val="Normal"/>
    <w:link w:val="Heading4Char"/>
    <w:uiPriority w:val="9"/>
    <w:unhideWhenUsed/>
    <w:qFormat/>
    <w:pPr>
      <w:keepNext/>
      <w:keepLines/>
      <w:outlineLvl w:val="3"/>
    </w:pPr>
    <w:rPr>
      <w:b/>
      <w:bCs/>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character" w:customStyle="1" w:styleId="Heading1Char">
    <w:name w:val="Heading 1 Char"/>
    <w:basedOn w:val="DefaultParagraphFont"/>
    <w:link w:val="Heading1"/>
    <w:rPr>
      <w:rFonts w:ascii="Calibri" w:eastAsia="Times New Roman" w:hAnsi="Calibri" w:cs="Calibri"/>
      <w:b/>
      <w:bCs/>
      <w:color w:val="5F497A"/>
      <w:sz w:val="44"/>
      <w:szCs w:val="44"/>
    </w:rPr>
  </w:style>
  <w:style w:type="character" w:customStyle="1" w:styleId="Heading2Char">
    <w:name w:val="Heading 2 Char"/>
    <w:basedOn w:val="DefaultParagraphFont"/>
    <w:link w:val="Heading2"/>
    <w:rPr>
      <w:rFonts w:ascii="Calibri" w:eastAsia="Calibri" w:hAnsi="Calibri" w:cs="Calibri"/>
      <w:b/>
      <w:bCs/>
      <w:color w:val="5F497A"/>
      <w:sz w:val="28"/>
      <w:szCs w:val="26"/>
    </w:rPr>
  </w:style>
  <w:style w:type="character" w:customStyle="1" w:styleId="Heading4Char">
    <w:name w:val="Heading 4 Char"/>
    <w:basedOn w:val="DefaultParagraphFont"/>
    <w:link w:val="Heading4"/>
    <w:rPr>
      <w:rFonts w:ascii="Calibri" w:eastAsia="Calibri" w:hAnsi="Calibri" w:cs="Calibri"/>
      <w:b/>
      <w:bCs/>
      <w:iCs/>
      <w:color w:val="000000"/>
      <w:sz w:val="20"/>
      <w:szCs w:val="24"/>
    </w:rPr>
  </w:style>
  <w:style w:type="character" w:styleId="Hyperlink">
    <w:name w:val="Hyperlink"/>
    <w:basedOn w:val="DefaultParagraphFont"/>
    <w:rPr>
      <w:rFonts w:cs="Times New Roman"/>
      <w:color w:val="0000FF"/>
      <w:u w:val="single"/>
    </w:rPr>
  </w:style>
  <w:style w:type="paragraph" w:styleId="NormalWeb">
    <w:name w:val="Normal (Web)"/>
    <w:basedOn w:val="Normal"/>
    <w:next w:val="Normal"/>
    <w:pPr>
      <w:spacing w:before="100" w:beforeAutospacing="1" w:after="100" w:afterAutospacing="1"/>
    </w:pPr>
    <w:rPr>
      <w:lang w:eastAsia="en-GB"/>
    </w:rPr>
  </w:style>
  <w:style w:type="paragraph" w:styleId="Footer">
    <w:name w:val="footer"/>
    <w:basedOn w:val="Normal"/>
    <w:next w:val="Normal"/>
    <w:link w:val="FooterChar"/>
    <w:pPr>
      <w:tabs>
        <w:tab w:val="center" w:pos="4513"/>
        <w:tab w:val="right" w:pos="9026"/>
      </w:tabs>
    </w:pPr>
  </w:style>
  <w:style w:type="character" w:customStyle="1" w:styleId="FooterChar">
    <w:name w:val="Footer Char"/>
    <w:basedOn w:val="DefaultParagraphFont"/>
    <w:link w:val="Footer"/>
    <w:rPr>
      <w:rFonts w:ascii="Calibri" w:eastAsia="Times New Roman" w:hAnsi="Calibri" w:cs="Times New Roman"/>
      <w:sz w:val="20"/>
      <w:szCs w:val="24"/>
    </w:rPr>
  </w:style>
  <w:style w:type="character" w:styleId="Strong">
    <w:name w:val="Strong"/>
    <w:basedOn w:val="DefaultParagraphFont"/>
    <w:qFormat/>
    <w:rPr>
      <w:rFonts w:ascii="Calibri" w:eastAsia="Calibri" w:hAnsi="Calibri" w:cs="Calibri"/>
      <w:b/>
      <w:color w:val="auto"/>
      <w:sz w:val="20"/>
    </w:rPr>
  </w:style>
  <w:style w:type="paragraph" w:styleId="ListParagraph">
    <w:name w:val="List Paragraph"/>
    <w:basedOn w:val="Normal"/>
    <w:qFormat/>
    <w:pPr>
      <w:ind w:left="720"/>
      <w:contextualSpacing/>
    </w:pPr>
  </w:style>
  <w:style w:type="paragraph" w:customStyle="1" w:styleId="TableOfContents">
    <w:name w:val="Table Of Contents"/>
    <w:basedOn w:val="Normal"/>
    <w:next w:val="Normal"/>
    <w:link w:val="TableOfContentsChar"/>
    <w:qFormat/>
    <w:pPr>
      <w:widowControl w:val="0"/>
      <w:tabs>
        <w:tab w:val="left" w:pos="567"/>
      </w:tabs>
      <w:autoSpaceDE w:val="0"/>
      <w:autoSpaceDN w:val="0"/>
      <w:adjustRightInd w:val="0"/>
      <w:spacing w:line="276" w:lineRule="auto"/>
      <w:ind w:left="567" w:hanging="567"/>
      <w:jc w:val="left"/>
    </w:pPr>
    <w:rPr>
      <w:rFonts w:cs="Calibri"/>
      <w:bCs/>
      <w:sz w:val="28"/>
      <w:szCs w:val="28"/>
    </w:rPr>
  </w:style>
  <w:style w:type="character" w:customStyle="1" w:styleId="TableOfContentsChar">
    <w:name w:val="Table Of Contents Char"/>
    <w:basedOn w:val="DefaultParagraphFont"/>
    <w:link w:val="TableOfContents"/>
    <w:rPr>
      <w:rFonts w:ascii="Calibri" w:eastAsia="Times New Roman" w:hAnsi="Calibri" w:cs="Calibri"/>
      <w:bCs/>
      <w:sz w:val="28"/>
      <w:szCs w:val="28"/>
    </w:rPr>
  </w:style>
  <w:style w:type="paragraph" w:styleId="BalloonText">
    <w:name w:val="Balloon Text"/>
    <w:basedOn w:val="Normal"/>
    <w:link w:val="BalloonTextChar"/>
    <w:semiHidden/>
    <w:unhideWhenUsed/>
    <w:rPr>
      <w:rFonts w:ascii="Tahoma" w:eastAsia="Tahoma" w:hAnsi="Tahoma" w:cs="Tahoma"/>
      <w:sz w:val="16"/>
      <w:szCs w:val="16"/>
    </w:rPr>
  </w:style>
  <w:style w:type="character" w:customStyle="1" w:styleId="BalloonTextChar">
    <w:name w:val="Balloon Text Char"/>
    <w:basedOn w:val="DefaultParagraphFont"/>
    <w:link w:val="BalloonText"/>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8.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 Id="rId30" Type="http://schemas.openxmlformats.org/officeDocument/2006/relationships/customXml" Target="../customXml/item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72465F-D95C-421F-999A-D286B2CBEB46}" type="doc">
      <dgm:prSet loTypeId="urn:microsoft.com/office/officeart/2005/8/layout/cycle5" loCatId="cycle" qsTypeId="urn:microsoft.com/office/officeart/2005/8/quickstyle/simple1" qsCatId="simple" csTypeId="urn:microsoft.com/office/officeart/2005/8/colors/colorful4" csCatId="colorful" phldr="1"/>
      <dgm:spPr/>
      <dgm:t>
        <a:bodyPr/>
        <a:lstStyle/>
        <a:p>
          <a:endParaRPr lang="en-GB"/>
        </a:p>
      </dgm:t>
    </dgm:pt>
    <dgm:pt modelId="{7B639885-3A82-4B1F-9EFC-77C4641EFA1B}">
      <dgm:prSet phldrT="[Text]"/>
      <dgm:spPr/>
      <dgm:t>
        <a:bodyPr/>
        <a:lstStyle/>
        <a:p>
          <a:r>
            <a:rPr lang="en-GB"/>
            <a:t>1. Complete attitude to risk </a:t>
          </a:r>
          <a:r>
            <a:rPr lang="en-US"/>
            <a:t>questionnaire</a:t>
          </a:r>
          <a:endParaRPr lang="en-GB"/>
        </a:p>
      </dgm:t>
    </dgm:pt>
    <dgm:pt modelId="{8F371D63-5DB5-4C88-9BC8-A5E4FBABAEE5}" type="parTrans" cxnId="{A1DFB18E-2450-4B39-BDDC-402D954BD482}">
      <dgm:prSet/>
      <dgm:spPr/>
      <dgm:t>
        <a:bodyPr/>
        <a:lstStyle/>
        <a:p>
          <a:endParaRPr lang="en-GB"/>
        </a:p>
      </dgm:t>
    </dgm:pt>
    <dgm:pt modelId="{035DB66D-9803-4478-B837-DA35397811DF}" type="sibTrans" cxnId="{A1DFB18E-2450-4B39-BDDC-402D954BD482}">
      <dgm:prSet/>
      <dgm:spPr/>
      <dgm:t>
        <a:bodyPr/>
        <a:lstStyle/>
        <a:p>
          <a:endParaRPr lang="en-GB"/>
        </a:p>
      </dgm:t>
    </dgm:pt>
    <dgm:pt modelId="{A66C9774-E537-49BD-926F-718988ED544F}">
      <dgm:prSet phldrT="[Text]"/>
      <dgm:spPr/>
      <dgm:t>
        <a:bodyPr/>
        <a:lstStyle/>
        <a:p>
          <a:r>
            <a:rPr lang="en-GB"/>
            <a:t>2. Challenge  and validate results</a:t>
          </a:r>
        </a:p>
      </dgm:t>
    </dgm:pt>
    <dgm:pt modelId="{71AB972F-C767-4DF7-9545-D60C50A8A983}" type="parTrans" cxnId="{B2AB3C37-FF2E-4F3C-ACE3-6B53231CD7CA}">
      <dgm:prSet/>
      <dgm:spPr/>
      <dgm:t>
        <a:bodyPr/>
        <a:lstStyle/>
        <a:p>
          <a:endParaRPr lang="en-GB"/>
        </a:p>
      </dgm:t>
    </dgm:pt>
    <dgm:pt modelId="{556B1686-B407-4033-93CF-526638EB4FA2}" type="sibTrans" cxnId="{B2AB3C37-FF2E-4F3C-ACE3-6B53231CD7CA}">
      <dgm:prSet/>
      <dgm:spPr/>
      <dgm:t>
        <a:bodyPr/>
        <a:lstStyle/>
        <a:p>
          <a:endParaRPr lang="en-GB"/>
        </a:p>
      </dgm:t>
    </dgm:pt>
    <dgm:pt modelId="{1F00F621-DF8A-44EC-A655-44DAC934A453}">
      <dgm:prSet phldrT="[Text]"/>
      <dgm:spPr/>
      <dgm:t>
        <a:bodyPr/>
        <a:lstStyle/>
        <a:p>
          <a:r>
            <a:rPr lang="en-GB"/>
            <a:t>3. Create a risk strategy</a:t>
          </a:r>
        </a:p>
      </dgm:t>
    </dgm:pt>
    <dgm:pt modelId="{082F88AA-008B-410C-88E3-5DE8CB113D3E}" type="parTrans" cxnId="{BCEC744C-AFA9-4D52-BB9A-C2182C5DE932}">
      <dgm:prSet/>
      <dgm:spPr/>
      <dgm:t>
        <a:bodyPr/>
        <a:lstStyle/>
        <a:p>
          <a:endParaRPr lang="en-GB"/>
        </a:p>
      </dgm:t>
    </dgm:pt>
    <dgm:pt modelId="{17560912-0930-43F5-B143-BE2A0E7BCEF9}" type="sibTrans" cxnId="{BCEC744C-AFA9-4D52-BB9A-C2182C5DE932}">
      <dgm:prSet/>
      <dgm:spPr/>
      <dgm:t>
        <a:bodyPr/>
        <a:lstStyle/>
        <a:p>
          <a:endParaRPr lang="en-GB"/>
        </a:p>
      </dgm:t>
    </dgm:pt>
    <dgm:pt modelId="{BC2B6A44-BBE1-49B8-B951-636BCD6746FF}">
      <dgm:prSet phldrT="[Text]"/>
      <dgm:spPr/>
      <dgm:t>
        <a:bodyPr/>
        <a:lstStyle/>
        <a:p>
          <a:r>
            <a:rPr lang="en-GB"/>
            <a:t>4. Review risk on a regular basis</a:t>
          </a:r>
        </a:p>
      </dgm:t>
    </dgm:pt>
    <dgm:pt modelId="{8CCD561A-B88C-49B2-B59F-B100D3C2E183}" type="parTrans" cxnId="{C6FD6340-744D-4BDE-9867-900FE2A63440}">
      <dgm:prSet/>
      <dgm:spPr/>
      <dgm:t>
        <a:bodyPr/>
        <a:lstStyle/>
        <a:p>
          <a:endParaRPr lang="en-GB"/>
        </a:p>
      </dgm:t>
    </dgm:pt>
    <dgm:pt modelId="{866A9F85-7658-4CA3-97EA-5AFF52F335D4}" type="sibTrans" cxnId="{C6FD6340-744D-4BDE-9867-900FE2A63440}">
      <dgm:prSet/>
      <dgm:spPr/>
      <dgm:t>
        <a:bodyPr/>
        <a:lstStyle/>
        <a:p>
          <a:endParaRPr lang="en-GB"/>
        </a:p>
      </dgm:t>
    </dgm:pt>
    <dgm:pt modelId="{C7703662-629C-4862-B6F6-0550D88070EE}" type="pres">
      <dgm:prSet presAssocID="{6E72465F-D95C-421F-999A-D286B2CBEB46}" presName="cycle" presStyleCnt="0">
        <dgm:presLayoutVars>
          <dgm:dir/>
          <dgm:resizeHandles val="exact"/>
        </dgm:presLayoutVars>
      </dgm:prSet>
      <dgm:spPr/>
    </dgm:pt>
    <dgm:pt modelId="{09D59934-19B9-44E7-8344-BF2A4D3BC0EE}" type="pres">
      <dgm:prSet presAssocID="{7B639885-3A82-4B1F-9EFC-77C4641EFA1B}" presName="node" presStyleLbl="node1" presStyleIdx="0" presStyleCnt="4">
        <dgm:presLayoutVars>
          <dgm:bulletEnabled val="1"/>
        </dgm:presLayoutVars>
      </dgm:prSet>
      <dgm:spPr/>
    </dgm:pt>
    <dgm:pt modelId="{F6DE514E-4812-4307-8496-198FCBA79A6A}" type="pres">
      <dgm:prSet presAssocID="{7B639885-3A82-4B1F-9EFC-77C4641EFA1B}" presName="spNode" presStyleCnt="0"/>
      <dgm:spPr/>
    </dgm:pt>
    <dgm:pt modelId="{CB8A44F5-7252-471C-9203-59D13B700512}" type="pres">
      <dgm:prSet presAssocID="{035DB66D-9803-4478-B837-DA35397811DF}" presName="sibTrans" presStyleLbl="sibTrans1D1" presStyleIdx="0" presStyleCnt="4"/>
      <dgm:spPr/>
    </dgm:pt>
    <dgm:pt modelId="{3027781B-6E4E-4075-9357-BA0C7A698E42}" type="pres">
      <dgm:prSet presAssocID="{A66C9774-E537-49BD-926F-718988ED544F}" presName="node" presStyleLbl="node1" presStyleIdx="1" presStyleCnt="4">
        <dgm:presLayoutVars>
          <dgm:bulletEnabled val="1"/>
        </dgm:presLayoutVars>
      </dgm:prSet>
      <dgm:spPr/>
    </dgm:pt>
    <dgm:pt modelId="{52A78671-0812-48E1-BB3C-7D215A697C38}" type="pres">
      <dgm:prSet presAssocID="{A66C9774-E537-49BD-926F-718988ED544F}" presName="spNode" presStyleCnt="0"/>
      <dgm:spPr/>
    </dgm:pt>
    <dgm:pt modelId="{97D75FCB-6BBE-4243-A7A3-C7C60304769C}" type="pres">
      <dgm:prSet presAssocID="{556B1686-B407-4033-93CF-526638EB4FA2}" presName="sibTrans" presStyleLbl="sibTrans1D1" presStyleIdx="1" presStyleCnt="4"/>
      <dgm:spPr/>
    </dgm:pt>
    <dgm:pt modelId="{9AD71D27-B9E0-4845-B0FB-F7FC2DD465B4}" type="pres">
      <dgm:prSet presAssocID="{1F00F621-DF8A-44EC-A655-44DAC934A453}" presName="node" presStyleLbl="node1" presStyleIdx="2" presStyleCnt="4">
        <dgm:presLayoutVars>
          <dgm:bulletEnabled val="1"/>
        </dgm:presLayoutVars>
      </dgm:prSet>
      <dgm:spPr/>
    </dgm:pt>
    <dgm:pt modelId="{17ED80AB-F726-44CD-9092-8F7C03A331A9}" type="pres">
      <dgm:prSet presAssocID="{1F00F621-DF8A-44EC-A655-44DAC934A453}" presName="spNode" presStyleCnt="0"/>
      <dgm:spPr/>
    </dgm:pt>
    <dgm:pt modelId="{8FA5C520-036E-4A9F-87BD-66D2EAFD831B}" type="pres">
      <dgm:prSet presAssocID="{17560912-0930-43F5-B143-BE2A0E7BCEF9}" presName="sibTrans" presStyleLbl="sibTrans1D1" presStyleIdx="2" presStyleCnt="4"/>
      <dgm:spPr/>
    </dgm:pt>
    <dgm:pt modelId="{9E62EEC3-3A34-49C7-B5D1-F8564BA74314}" type="pres">
      <dgm:prSet presAssocID="{BC2B6A44-BBE1-49B8-B951-636BCD6746FF}" presName="node" presStyleLbl="node1" presStyleIdx="3" presStyleCnt="4">
        <dgm:presLayoutVars>
          <dgm:bulletEnabled val="1"/>
        </dgm:presLayoutVars>
      </dgm:prSet>
      <dgm:spPr/>
    </dgm:pt>
    <dgm:pt modelId="{3860AAD2-7F9C-471C-9EFC-B57CD402CD5B}" type="pres">
      <dgm:prSet presAssocID="{BC2B6A44-BBE1-49B8-B951-636BCD6746FF}" presName="spNode" presStyleCnt="0"/>
      <dgm:spPr/>
    </dgm:pt>
    <dgm:pt modelId="{500283A0-555F-4DB5-8267-EA1CC1CAB274}" type="pres">
      <dgm:prSet presAssocID="{866A9F85-7658-4CA3-97EA-5AFF52F335D4}" presName="sibTrans" presStyleLbl="sibTrans1D1" presStyleIdx="3" presStyleCnt="4"/>
      <dgm:spPr/>
    </dgm:pt>
  </dgm:ptLst>
  <dgm:cxnLst>
    <dgm:cxn modelId="{27E0AD1F-F7C1-45BA-9BA2-3EFF34263A54}" type="presOf" srcId="{A66C9774-E537-49BD-926F-718988ED544F}" destId="{3027781B-6E4E-4075-9357-BA0C7A698E42}" srcOrd="0" destOrd="0" presId="urn:microsoft.com/office/officeart/2005/8/layout/cycle5"/>
    <dgm:cxn modelId="{3C257524-A125-4F48-8864-AF4A3F879F9D}" type="presOf" srcId="{035DB66D-9803-4478-B837-DA35397811DF}" destId="{CB8A44F5-7252-471C-9203-59D13B700512}" srcOrd="0" destOrd="0" presId="urn:microsoft.com/office/officeart/2005/8/layout/cycle5"/>
    <dgm:cxn modelId="{91D21726-3E6E-4AAB-BCC7-D55C9E4098AA}" type="presOf" srcId="{6E72465F-D95C-421F-999A-D286B2CBEB46}" destId="{C7703662-629C-4862-B6F6-0550D88070EE}" srcOrd="0" destOrd="0" presId="urn:microsoft.com/office/officeart/2005/8/layout/cycle5"/>
    <dgm:cxn modelId="{B2AB3C37-FF2E-4F3C-ACE3-6B53231CD7CA}" srcId="{6E72465F-D95C-421F-999A-D286B2CBEB46}" destId="{A66C9774-E537-49BD-926F-718988ED544F}" srcOrd="1" destOrd="0" parTransId="{71AB972F-C767-4DF7-9545-D60C50A8A983}" sibTransId="{556B1686-B407-4033-93CF-526638EB4FA2}"/>
    <dgm:cxn modelId="{C6FD6340-744D-4BDE-9867-900FE2A63440}" srcId="{6E72465F-D95C-421F-999A-D286B2CBEB46}" destId="{BC2B6A44-BBE1-49B8-B951-636BCD6746FF}" srcOrd="3" destOrd="0" parTransId="{8CCD561A-B88C-49B2-B59F-B100D3C2E183}" sibTransId="{866A9F85-7658-4CA3-97EA-5AFF52F335D4}"/>
    <dgm:cxn modelId="{BCEC744C-AFA9-4D52-BB9A-C2182C5DE932}" srcId="{6E72465F-D95C-421F-999A-D286B2CBEB46}" destId="{1F00F621-DF8A-44EC-A655-44DAC934A453}" srcOrd="2" destOrd="0" parTransId="{082F88AA-008B-410C-88E3-5DE8CB113D3E}" sibTransId="{17560912-0930-43F5-B143-BE2A0E7BCEF9}"/>
    <dgm:cxn modelId="{A1DFB18E-2450-4B39-BDDC-402D954BD482}" srcId="{6E72465F-D95C-421F-999A-D286B2CBEB46}" destId="{7B639885-3A82-4B1F-9EFC-77C4641EFA1B}" srcOrd="0" destOrd="0" parTransId="{8F371D63-5DB5-4C88-9BC8-A5E4FBABAEE5}" sibTransId="{035DB66D-9803-4478-B837-DA35397811DF}"/>
    <dgm:cxn modelId="{BE9264A2-FE73-465D-8C5A-CF4B9DEED66E}" type="presOf" srcId="{556B1686-B407-4033-93CF-526638EB4FA2}" destId="{97D75FCB-6BBE-4243-A7A3-C7C60304769C}" srcOrd="0" destOrd="0" presId="urn:microsoft.com/office/officeart/2005/8/layout/cycle5"/>
    <dgm:cxn modelId="{DC33A0A7-8F8A-4748-AD51-F8D962446AE0}" type="presOf" srcId="{7B639885-3A82-4B1F-9EFC-77C4641EFA1B}" destId="{09D59934-19B9-44E7-8344-BF2A4D3BC0EE}" srcOrd="0" destOrd="0" presId="urn:microsoft.com/office/officeart/2005/8/layout/cycle5"/>
    <dgm:cxn modelId="{19B1CFC1-3C58-4D14-8631-D2F03301262E}" type="presOf" srcId="{17560912-0930-43F5-B143-BE2A0E7BCEF9}" destId="{8FA5C520-036E-4A9F-87BD-66D2EAFD831B}" srcOrd="0" destOrd="0" presId="urn:microsoft.com/office/officeart/2005/8/layout/cycle5"/>
    <dgm:cxn modelId="{05EE91C7-6F5E-441C-B48B-92B37293F120}" type="presOf" srcId="{1F00F621-DF8A-44EC-A655-44DAC934A453}" destId="{9AD71D27-B9E0-4845-B0FB-F7FC2DD465B4}" srcOrd="0" destOrd="0" presId="urn:microsoft.com/office/officeart/2005/8/layout/cycle5"/>
    <dgm:cxn modelId="{B4C0BDE0-1EB6-4BB8-A82F-8DB2C6CF78C1}" type="presOf" srcId="{866A9F85-7658-4CA3-97EA-5AFF52F335D4}" destId="{500283A0-555F-4DB5-8267-EA1CC1CAB274}" srcOrd="0" destOrd="0" presId="urn:microsoft.com/office/officeart/2005/8/layout/cycle5"/>
    <dgm:cxn modelId="{E8D6B7F6-A273-463C-90D2-F9C8ECB98242}" type="presOf" srcId="{BC2B6A44-BBE1-49B8-B951-636BCD6746FF}" destId="{9E62EEC3-3A34-49C7-B5D1-F8564BA74314}" srcOrd="0" destOrd="0" presId="urn:microsoft.com/office/officeart/2005/8/layout/cycle5"/>
    <dgm:cxn modelId="{552FB680-595B-400A-8C2E-2ABD53EC6D2F}" type="presParOf" srcId="{C7703662-629C-4862-B6F6-0550D88070EE}" destId="{09D59934-19B9-44E7-8344-BF2A4D3BC0EE}" srcOrd="0" destOrd="0" presId="urn:microsoft.com/office/officeart/2005/8/layout/cycle5"/>
    <dgm:cxn modelId="{29E45996-78CD-4318-B5E0-EFB5B2562039}" type="presParOf" srcId="{C7703662-629C-4862-B6F6-0550D88070EE}" destId="{F6DE514E-4812-4307-8496-198FCBA79A6A}" srcOrd="1" destOrd="0" presId="urn:microsoft.com/office/officeart/2005/8/layout/cycle5"/>
    <dgm:cxn modelId="{6DC00C52-9EE1-4D18-BEE1-C3A008FBFD21}" type="presParOf" srcId="{C7703662-629C-4862-B6F6-0550D88070EE}" destId="{CB8A44F5-7252-471C-9203-59D13B700512}" srcOrd="2" destOrd="0" presId="urn:microsoft.com/office/officeart/2005/8/layout/cycle5"/>
    <dgm:cxn modelId="{1BE17209-030B-4D45-B362-22DCB60587BE}" type="presParOf" srcId="{C7703662-629C-4862-B6F6-0550D88070EE}" destId="{3027781B-6E4E-4075-9357-BA0C7A698E42}" srcOrd="3" destOrd="0" presId="urn:microsoft.com/office/officeart/2005/8/layout/cycle5"/>
    <dgm:cxn modelId="{3813032C-71EF-46C9-BD5B-8E539E2F7ED8}" type="presParOf" srcId="{C7703662-629C-4862-B6F6-0550D88070EE}" destId="{52A78671-0812-48E1-BB3C-7D215A697C38}" srcOrd="4" destOrd="0" presId="urn:microsoft.com/office/officeart/2005/8/layout/cycle5"/>
    <dgm:cxn modelId="{16F157BB-B71D-409D-BA17-3921DAAD300B}" type="presParOf" srcId="{C7703662-629C-4862-B6F6-0550D88070EE}" destId="{97D75FCB-6BBE-4243-A7A3-C7C60304769C}" srcOrd="5" destOrd="0" presId="urn:microsoft.com/office/officeart/2005/8/layout/cycle5"/>
    <dgm:cxn modelId="{1FE62BA0-4628-4108-A5D2-17CDDBA84306}" type="presParOf" srcId="{C7703662-629C-4862-B6F6-0550D88070EE}" destId="{9AD71D27-B9E0-4845-B0FB-F7FC2DD465B4}" srcOrd="6" destOrd="0" presId="urn:microsoft.com/office/officeart/2005/8/layout/cycle5"/>
    <dgm:cxn modelId="{A2627C99-A38B-4440-92E9-691C4C6262D7}" type="presParOf" srcId="{C7703662-629C-4862-B6F6-0550D88070EE}" destId="{17ED80AB-F726-44CD-9092-8F7C03A331A9}" srcOrd="7" destOrd="0" presId="urn:microsoft.com/office/officeart/2005/8/layout/cycle5"/>
    <dgm:cxn modelId="{1DE0CE7D-F267-492F-A39E-96C99B407ECA}" type="presParOf" srcId="{C7703662-629C-4862-B6F6-0550D88070EE}" destId="{8FA5C520-036E-4A9F-87BD-66D2EAFD831B}" srcOrd="8" destOrd="0" presId="urn:microsoft.com/office/officeart/2005/8/layout/cycle5"/>
    <dgm:cxn modelId="{1E16082E-26D9-41EA-B45B-01B4FDAFA525}" type="presParOf" srcId="{C7703662-629C-4862-B6F6-0550D88070EE}" destId="{9E62EEC3-3A34-49C7-B5D1-F8564BA74314}" srcOrd="9" destOrd="0" presId="urn:microsoft.com/office/officeart/2005/8/layout/cycle5"/>
    <dgm:cxn modelId="{5080C4FA-68ED-426B-B141-3106CE08B862}" type="presParOf" srcId="{C7703662-629C-4862-B6F6-0550D88070EE}" destId="{3860AAD2-7F9C-471C-9EFC-B57CD402CD5B}" srcOrd="10" destOrd="0" presId="urn:microsoft.com/office/officeart/2005/8/layout/cycle5"/>
    <dgm:cxn modelId="{1FE72684-1FAB-4449-8ABF-93A0D96D2127}" type="presParOf" srcId="{C7703662-629C-4862-B6F6-0550D88070EE}" destId="{500283A0-555F-4DB5-8267-EA1CC1CAB274}" srcOrd="11"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59934-19B9-44E7-8344-BF2A4D3BC0EE}">
      <dsp:nvSpPr>
        <dsp:cNvPr id="0" name=""/>
        <dsp:cNvSpPr/>
      </dsp:nvSpPr>
      <dsp:spPr>
        <a:xfrm>
          <a:off x="2171923" y="1651"/>
          <a:ext cx="1142553" cy="742659"/>
        </a:xfrm>
        <a:prstGeom prst="roundRect">
          <a:avLst/>
        </a:prstGeom>
        <a:solidFill>
          <a:schemeClr val="accent4">
            <a:hueOff val="0"/>
            <a:satOff val="0"/>
            <a:lumOff val="0"/>
            <a:alphaOff val="0"/>
          </a:schemeClr>
        </a:solidFill>
        <a:ln w="25400" cap="flat" cmpd="sng">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1. Complete attitude to risk </a:t>
          </a:r>
          <a:r>
            <a:rPr lang="en-US" sz="1200" kern="1200"/>
            <a:t>questionnaire</a:t>
          </a:r>
          <a:endParaRPr lang="en-GB" sz="1200" kern="1200"/>
        </a:p>
      </dsp:txBody>
      <dsp:txXfrm>
        <a:off x="2208177" y="37905"/>
        <a:ext cx="1070045" cy="670151"/>
      </dsp:txXfrm>
    </dsp:sp>
    <dsp:sp modelId="{CB8A44F5-7252-471C-9203-59D13B700512}">
      <dsp:nvSpPr>
        <dsp:cNvPr id="0" name=""/>
        <dsp:cNvSpPr/>
      </dsp:nvSpPr>
      <dsp:spPr>
        <a:xfrm>
          <a:off x="1516552" y="372981"/>
          <a:ext cx="2453294" cy="2453294"/>
        </a:xfrm>
        <a:custGeom>
          <a:avLst/>
          <a:gdLst/>
          <a:ahLst/>
          <a:cxnLst/>
          <a:rect l="0" t="0" r="0" b="0"/>
          <a:pathLst>
            <a:path>
              <a:moveTo>
                <a:pt x="1955554" y="240057"/>
              </a:moveTo>
              <a:arcTo wR="1226647" hR="1226647" stAng="18387452" swAng="1633253"/>
            </a:path>
          </a:pathLst>
        </a:custGeom>
        <a:noFill/>
        <a:ln w="9525" cap="flat" cmpd="sng">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27781B-6E4E-4075-9357-BA0C7A698E42}">
      <dsp:nvSpPr>
        <dsp:cNvPr id="0" name=""/>
        <dsp:cNvSpPr/>
      </dsp:nvSpPr>
      <dsp:spPr>
        <a:xfrm>
          <a:off x="3398570" y="1228298"/>
          <a:ext cx="1142553" cy="742659"/>
        </a:xfrm>
        <a:prstGeom prst="roundRect">
          <a:avLst/>
        </a:prstGeom>
        <a:solidFill>
          <a:schemeClr val="accent4">
            <a:hueOff val="-1488257"/>
            <a:satOff val="8966"/>
            <a:lumOff val="719"/>
            <a:alphaOff val="0"/>
          </a:schemeClr>
        </a:solidFill>
        <a:ln w="25400" cap="flat" cmpd="sng">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2. Challenge  and validate results</a:t>
          </a:r>
        </a:p>
      </dsp:txBody>
      <dsp:txXfrm>
        <a:off x="3434824" y="1264552"/>
        <a:ext cx="1070045" cy="670151"/>
      </dsp:txXfrm>
    </dsp:sp>
    <dsp:sp modelId="{97D75FCB-6BBE-4243-A7A3-C7C60304769C}">
      <dsp:nvSpPr>
        <dsp:cNvPr id="0" name=""/>
        <dsp:cNvSpPr/>
      </dsp:nvSpPr>
      <dsp:spPr>
        <a:xfrm>
          <a:off x="1516552" y="372981"/>
          <a:ext cx="2453294" cy="2453294"/>
        </a:xfrm>
        <a:custGeom>
          <a:avLst/>
          <a:gdLst/>
          <a:ahLst/>
          <a:cxnLst/>
          <a:rect l="0" t="0" r="0" b="0"/>
          <a:pathLst>
            <a:path>
              <a:moveTo>
                <a:pt x="2326115" y="1770553"/>
              </a:moveTo>
              <a:arcTo wR="1226647" hR="1226647" stAng="1579295" swAng="1633253"/>
            </a:path>
          </a:pathLst>
        </a:custGeom>
        <a:noFill/>
        <a:ln w="9525" cap="flat" cmpd="sng">
          <a:solidFill>
            <a:schemeClr val="accent4">
              <a:hueOff val="-1488257"/>
              <a:satOff val="8966"/>
              <a:lumOff val="719"/>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AD71D27-B9E0-4845-B0FB-F7FC2DD465B4}">
      <dsp:nvSpPr>
        <dsp:cNvPr id="0" name=""/>
        <dsp:cNvSpPr/>
      </dsp:nvSpPr>
      <dsp:spPr>
        <a:xfrm>
          <a:off x="2171923" y="2454945"/>
          <a:ext cx="1142553" cy="742659"/>
        </a:xfrm>
        <a:prstGeom prst="roundRect">
          <a:avLst/>
        </a:prstGeom>
        <a:solidFill>
          <a:schemeClr val="accent4">
            <a:hueOff val="-2976513"/>
            <a:satOff val="17933"/>
            <a:lumOff val="1437"/>
            <a:alphaOff val="0"/>
          </a:schemeClr>
        </a:solidFill>
        <a:ln w="25400" cap="flat" cmpd="sng">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3. Create a risk strategy</a:t>
          </a:r>
        </a:p>
      </dsp:txBody>
      <dsp:txXfrm>
        <a:off x="2208177" y="2491199"/>
        <a:ext cx="1070045" cy="670151"/>
      </dsp:txXfrm>
    </dsp:sp>
    <dsp:sp modelId="{8FA5C520-036E-4A9F-87BD-66D2EAFD831B}">
      <dsp:nvSpPr>
        <dsp:cNvPr id="0" name=""/>
        <dsp:cNvSpPr/>
      </dsp:nvSpPr>
      <dsp:spPr>
        <a:xfrm>
          <a:off x="1516552" y="372981"/>
          <a:ext cx="2453294" cy="2453294"/>
        </a:xfrm>
        <a:custGeom>
          <a:avLst/>
          <a:gdLst/>
          <a:ahLst/>
          <a:cxnLst/>
          <a:rect l="0" t="0" r="0" b="0"/>
          <a:pathLst>
            <a:path>
              <a:moveTo>
                <a:pt x="497740" y="2213236"/>
              </a:moveTo>
              <a:arcTo wR="1226647" hR="1226647" stAng="7587452" swAng="1633253"/>
            </a:path>
          </a:pathLst>
        </a:custGeom>
        <a:noFill/>
        <a:ln w="9525" cap="flat" cmpd="sng">
          <a:solidFill>
            <a:schemeClr val="accent4">
              <a:hueOff val="-2976513"/>
              <a:satOff val="17933"/>
              <a:lumOff val="1437"/>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E62EEC3-3A34-49C7-B5D1-F8564BA74314}">
      <dsp:nvSpPr>
        <dsp:cNvPr id="0" name=""/>
        <dsp:cNvSpPr/>
      </dsp:nvSpPr>
      <dsp:spPr>
        <a:xfrm>
          <a:off x="945275" y="1228298"/>
          <a:ext cx="1142553" cy="742659"/>
        </a:xfrm>
        <a:prstGeom prst="roundRect">
          <a:avLst/>
        </a:prstGeom>
        <a:solidFill>
          <a:schemeClr val="accent4">
            <a:hueOff val="-4464770"/>
            <a:satOff val="26899"/>
            <a:lumOff val="2156"/>
            <a:alphaOff val="0"/>
          </a:schemeClr>
        </a:solidFill>
        <a:ln w="25400" cap="flat" cmpd="sng">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4. Review risk on a regular basis</a:t>
          </a:r>
        </a:p>
      </dsp:txBody>
      <dsp:txXfrm>
        <a:off x="981529" y="1264552"/>
        <a:ext cx="1070045" cy="670151"/>
      </dsp:txXfrm>
    </dsp:sp>
    <dsp:sp modelId="{500283A0-555F-4DB5-8267-EA1CC1CAB274}">
      <dsp:nvSpPr>
        <dsp:cNvPr id="0" name=""/>
        <dsp:cNvSpPr/>
      </dsp:nvSpPr>
      <dsp:spPr>
        <a:xfrm>
          <a:off x="1516552" y="372981"/>
          <a:ext cx="2453294" cy="2453294"/>
        </a:xfrm>
        <a:custGeom>
          <a:avLst/>
          <a:gdLst/>
          <a:ahLst/>
          <a:cxnLst/>
          <a:rect l="0" t="0" r="0" b="0"/>
          <a:pathLst>
            <a:path>
              <a:moveTo>
                <a:pt x="127179" y="682741"/>
              </a:moveTo>
              <a:arcTo wR="1226647" hR="1226647" stAng="12379295" swAng="1633253"/>
            </a:path>
          </a:pathLst>
        </a:custGeom>
        <a:noFill/>
        <a:ln w="9525" cap="flat" cmpd="sng">
          <a:solidFill>
            <a:schemeClr val="accent4">
              <a:hueOff val="-4464770"/>
              <a:satOff val="26899"/>
              <a:lumOff val="2156"/>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C0D913F11C3240AACB529B27440607" ma:contentTypeVersion="8" ma:contentTypeDescription="Create a new document." ma:contentTypeScope="" ma:versionID="e2c417939ba6833d4d157e82147c58f3">
  <xsd:schema xmlns:xsd="http://www.w3.org/2001/XMLSchema" xmlns:xs="http://www.w3.org/2001/XMLSchema" xmlns:p="http://schemas.microsoft.com/office/2006/metadata/properties" xmlns:ns2="be54b4d0-e63e-4c4c-9da4-e8a48e276b0b" xmlns:ns3="8231eda5-db13-4939-a291-527bc9e0b9be" targetNamespace="http://schemas.microsoft.com/office/2006/metadata/properties" ma:root="true" ma:fieldsID="4e6af0f58f5ef1758de20b4aaf6c2f98" ns2:_="" ns3:_="">
    <xsd:import namespace="be54b4d0-e63e-4c4c-9da4-e8a48e276b0b"/>
    <xsd:import namespace="8231eda5-db13-4939-a291-527bc9e0b9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4b4d0-e63e-4c4c-9da4-e8a48e276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31eda5-db13-4939-a291-527bc9e0b9b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CA8A59-74C4-4668-B1B2-570A6B9A9601}"/>
</file>

<file path=customXml/itemProps2.xml><?xml version="1.0" encoding="utf-8"?>
<ds:datastoreItem xmlns:ds="http://schemas.openxmlformats.org/officeDocument/2006/customXml" ds:itemID="{24189EAC-11BA-4AB6-89C0-9868CE4E8E75}"/>
</file>

<file path=customXml/itemProps3.xml><?xml version="1.0" encoding="utf-8"?>
<ds:datastoreItem xmlns:ds="http://schemas.openxmlformats.org/officeDocument/2006/customXml" ds:itemID="{8DB1E2C0-9915-427B-9BE4-A8F7EBAAED9B}"/>
</file>

<file path=docProps/app.xml><?xml version="1.0" encoding="utf-8"?>
<Properties xmlns="http://schemas.openxmlformats.org/officeDocument/2006/extended-properties" xmlns:vt="http://schemas.openxmlformats.org/officeDocument/2006/docPropsVTypes">
  <Template>Normal</Template>
  <TotalTime>0</TotalTime>
  <Pages>16</Pages>
  <Words>3444</Words>
  <Characters>19636</Characters>
  <Application>Microsoft Office Word</Application>
  <DocSecurity>0</DocSecurity>
  <Lines>163</Lines>
  <Paragraphs>46</Paragraphs>
  <ScaleCrop>false</ScaleCrop>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Simpson</dc:creator>
  <cp:lastModifiedBy>Zoe Hodges</cp:lastModifiedBy>
  <cp:revision>2</cp:revision>
  <dcterms:created xsi:type="dcterms:W3CDTF">2025-04-22T13:35:00Z</dcterms:created>
  <dcterms:modified xsi:type="dcterms:W3CDTF">2025-04-22T13:35:00Z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0x010100C7C0D913F11C3240AACB529B27440607</vt:lpwstr>
  </property>
</Properties>
</file>