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A3A5C"/>
          <w:sz w:val="56"/>
        </w:rPr>
        <w:t>Credit Scoring Model</w:t>
      </w:r>
    </w:p>
    <w:p>
      <w:pPr>
        <w:jc w:val="center"/>
      </w:pPr>
      <w:r>
        <w:rPr>
          <w:i/>
          <w:color w:val="444444"/>
          <w:sz w:val="32"/>
        </w:rPr>
        <w:t>Complete Data Analysis &amp; Machine Learning Report</w:t>
      </w:r>
    </w:p>
    <w:p/>
    <w:p>
      <w:pPr>
        <w:jc w:val="center"/>
      </w:pPr>
      <w:r>
        <w:t>Date: September 24, 2026</w:t>
      </w:r>
    </w:p>
    <w:p>
      <w:r>
        <w:br w:type="page"/>
      </w:r>
    </w:p>
    <w:p>
      <w:pPr>
        <w:pStyle w:val="Heading1"/>
      </w:pPr>
      <w:r>
        <w:rPr>
          <w:color w:val="1A3A5C"/>
        </w:rPr>
        <w:t>1. Executive Summary</w:t>
      </w:r>
    </w:p>
    <w:p>
      <w:r>
        <w:rPr>
          <w:b w:val="0"/>
          <w:sz w:val="22"/>
        </w:rPr>
        <w:t>This report presents a complete end-to-end credit scoring analysis and machine learning pipeline. The objective is to predict the creditworthiness of bank customers — classifying them as Good, Standard, or Poor — based on their financial history, payment behaviour, and credit profile.</w:t>
      </w:r>
    </w:p>
    <w:p/>
    <w:p>
      <w:r>
        <w:rPr>
          <w:b w:val="0"/>
          <w:sz w:val="22"/>
        </w:rPr>
        <w:t>The analysis covers 100,000 training records and 50,000 test records across 28 financial features. Three classification models were trained and evaluated: Logistic Regression, Decision Tree, and Random Forest. The Random Forest model achieved the best performance with 73.3% accuracy and a ROC-AUC of 0.858, and was used to generate creditworthiness predictions for the full test set.</w:t>
      </w:r>
    </w:p>
    <w:p/>
    <w:p>
      <w:pPr>
        <w:pStyle w:val="Heading2"/>
      </w:pPr>
      <w:r>
        <w:rPr>
          <w:color w:val="1A3A5C"/>
        </w:rPr>
        <w:t>Key Results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20"/>
              </w:rPr>
              <w:t>Metric</w:t>
            </w:r>
          </w:p>
        </w:tc>
        <w:tc>
          <w:tcPr>
            <w:tcW w:type="dxa" w:w="2351"/>
            <w:shd w:val="clear" w:color="auto" w:fill="1A3A5C"/>
          </w:tcPr>
          <w:p>
            <w:r>
              <w:rPr>
                <w:b/>
                <w:color w:val="FFFFFF"/>
                <w:sz w:val="20"/>
              </w:rPr>
              <w:t>Logistic Regression</w:t>
            </w:r>
          </w:p>
        </w:tc>
        <w:tc>
          <w:tcPr>
            <w:tcW w:type="dxa" w:w="2351"/>
            <w:shd w:val="clear" w:color="auto" w:fill="1A3A5C"/>
          </w:tcPr>
          <w:p>
            <w:r>
              <w:rPr>
                <w:b/>
                <w:color w:val="FFFFFF"/>
                <w:sz w:val="20"/>
              </w:rPr>
              <w:t>Decision Tree</w:t>
            </w:r>
          </w:p>
        </w:tc>
        <w:tc>
          <w:tcPr>
            <w:tcW w:type="dxa" w:w="2351"/>
            <w:shd w:val="clear" w:color="auto" w:fill="1A3A5C"/>
          </w:tcPr>
          <w:p>
            <w:r>
              <w:rPr>
                <w:b/>
                <w:color w:val="FFFFFF"/>
                <w:sz w:val="20"/>
              </w:rPr>
              <w:t>Random Forest (Best)</w:t>
            </w:r>
          </w:p>
        </w:tc>
      </w:tr>
      <w:tr>
        <w:tc>
          <w:tcPr>
            <w:tcW w:type="dxa" w:w="2351"/>
            <w:shd w:val="clear" w:color="auto" w:fill="EBF3FB"/>
          </w:tcPr>
          <w:p>
            <w:r>
              <w:rPr>
                <w:sz w:val="20"/>
              </w:rPr>
              <w:t>Accuracy</w:t>
            </w:r>
          </w:p>
        </w:tc>
        <w:tc>
          <w:tcPr>
            <w:tcW w:type="dxa" w:w="2351"/>
            <w:shd w:val="clear" w:color="auto" w:fill="EBF3FB"/>
          </w:tcPr>
          <w:p>
            <w:r>
              <w:rPr>
                <w:sz w:val="20"/>
              </w:rPr>
              <w:t>59.90%</w:t>
            </w:r>
          </w:p>
        </w:tc>
        <w:tc>
          <w:tcPr>
            <w:tcW w:type="dxa" w:w="2351"/>
            <w:shd w:val="clear" w:color="auto" w:fill="EBF3FB"/>
          </w:tcPr>
          <w:p>
            <w:r>
              <w:rPr>
                <w:sz w:val="20"/>
              </w:rPr>
              <w:t>70.91%</w:t>
            </w:r>
          </w:p>
        </w:tc>
        <w:tc>
          <w:tcPr>
            <w:tcW w:type="dxa" w:w="2351"/>
            <w:shd w:val="clear" w:color="auto" w:fill="EBF3FB"/>
          </w:tcPr>
          <w:p>
            <w:r>
              <w:rPr>
                <w:sz w:val="20"/>
              </w:rPr>
              <w:t>73.33%</w:t>
            </w:r>
          </w:p>
        </w:tc>
      </w:tr>
      <w:tr>
        <w:tc>
          <w:tcPr>
            <w:tcW w:type="dxa" w:w="2351"/>
          </w:tcPr>
          <w:p>
            <w:r>
              <w:rPr>
                <w:sz w:val="20"/>
              </w:rPr>
              <w:t>Precision</w:t>
            </w:r>
          </w:p>
        </w:tc>
        <w:tc>
          <w:tcPr>
            <w:tcW w:type="dxa" w:w="2351"/>
          </w:tcPr>
          <w:p>
            <w:r>
              <w:rPr>
                <w:sz w:val="20"/>
              </w:rPr>
              <w:t>59.59%</w:t>
            </w:r>
          </w:p>
        </w:tc>
        <w:tc>
          <w:tcPr>
            <w:tcW w:type="dxa" w:w="2351"/>
          </w:tcPr>
          <w:p>
            <w:r>
              <w:rPr>
                <w:sz w:val="20"/>
              </w:rPr>
              <w:t>71.58%</w:t>
            </w:r>
          </w:p>
        </w:tc>
        <w:tc>
          <w:tcPr>
            <w:tcW w:type="dxa" w:w="2351"/>
          </w:tcPr>
          <w:p>
            <w:r>
              <w:rPr>
                <w:sz w:val="20"/>
              </w:rPr>
              <w:t>73.73%</w:t>
            </w:r>
          </w:p>
        </w:tc>
      </w:tr>
      <w:tr>
        <w:tc>
          <w:tcPr>
            <w:tcW w:type="dxa" w:w="2351"/>
            <w:shd w:val="clear" w:color="auto" w:fill="EBF3FB"/>
          </w:tcPr>
          <w:p>
            <w:r>
              <w:rPr>
                <w:sz w:val="20"/>
              </w:rPr>
              <w:t>Recall</w:t>
            </w:r>
          </w:p>
        </w:tc>
        <w:tc>
          <w:tcPr>
            <w:tcW w:type="dxa" w:w="2351"/>
            <w:shd w:val="clear" w:color="auto" w:fill="EBF3FB"/>
          </w:tcPr>
          <w:p>
            <w:r>
              <w:rPr>
                <w:sz w:val="20"/>
              </w:rPr>
              <w:t>59.90%</w:t>
            </w:r>
          </w:p>
        </w:tc>
        <w:tc>
          <w:tcPr>
            <w:tcW w:type="dxa" w:w="2351"/>
            <w:shd w:val="clear" w:color="auto" w:fill="EBF3FB"/>
          </w:tcPr>
          <w:p>
            <w:r>
              <w:rPr>
                <w:sz w:val="20"/>
              </w:rPr>
              <w:t>70.91%</w:t>
            </w:r>
          </w:p>
        </w:tc>
        <w:tc>
          <w:tcPr>
            <w:tcW w:type="dxa" w:w="2351"/>
            <w:shd w:val="clear" w:color="auto" w:fill="EBF3FB"/>
          </w:tcPr>
          <w:p>
            <w:r>
              <w:rPr>
                <w:sz w:val="20"/>
              </w:rPr>
              <w:t>73.33%</w:t>
            </w:r>
          </w:p>
        </w:tc>
      </w:tr>
      <w:tr>
        <w:tc>
          <w:tcPr>
            <w:tcW w:type="dxa" w:w="2351"/>
          </w:tcPr>
          <w:p>
            <w:r>
              <w:rPr>
                <w:sz w:val="20"/>
              </w:rPr>
              <w:t>F1-Score</w:t>
            </w:r>
          </w:p>
        </w:tc>
        <w:tc>
          <w:tcPr>
            <w:tcW w:type="dxa" w:w="2351"/>
          </w:tcPr>
          <w:p>
            <w:r>
              <w:rPr>
                <w:sz w:val="20"/>
              </w:rPr>
              <w:t>58.18%</w:t>
            </w:r>
          </w:p>
        </w:tc>
        <w:tc>
          <w:tcPr>
            <w:tcW w:type="dxa" w:w="2351"/>
          </w:tcPr>
          <w:p>
            <w:r>
              <w:rPr>
                <w:sz w:val="20"/>
              </w:rPr>
              <w:t>71.02%</w:t>
            </w:r>
          </w:p>
        </w:tc>
        <w:tc>
          <w:tcPr>
            <w:tcW w:type="dxa" w:w="2351"/>
          </w:tcPr>
          <w:p>
            <w:r>
              <w:rPr>
                <w:sz w:val="20"/>
              </w:rPr>
              <w:t>73.44%</w:t>
            </w:r>
          </w:p>
        </w:tc>
      </w:tr>
      <w:tr>
        <w:tc>
          <w:tcPr>
            <w:tcW w:type="dxa" w:w="2351"/>
            <w:shd w:val="clear" w:color="auto" w:fill="EBF3FB"/>
          </w:tcPr>
          <w:p>
            <w:r>
              <w:rPr>
                <w:sz w:val="20"/>
              </w:rPr>
              <w:t>ROC-AUC</w:t>
            </w:r>
          </w:p>
        </w:tc>
        <w:tc>
          <w:tcPr>
            <w:tcW w:type="dxa" w:w="2351"/>
            <w:shd w:val="clear" w:color="auto" w:fill="EBF3FB"/>
          </w:tcPr>
          <w:p>
            <w:r>
              <w:rPr>
                <w:sz w:val="20"/>
              </w:rPr>
              <w:t>0.7370</w:t>
            </w:r>
          </w:p>
        </w:tc>
        <w:tc>
          <w:tcPr>
            <w:tcW w:type="dxa" w:w="2351"/>
            <w:shd w:val="clear" w:color="auto" w:fill="EBF3FB"/>
          </w:tcPr>
          <w:p>
            <w:r>
              <w:rPr>
                <w:sz w:val="20"/>
              </w:rPr>
              <w:t>0.8313</w:t>
            </w:r>
          </w:p>
        </w:tc>
        <w:tc>
          <w:tcPr>
            <w:tcW w:type="dxa" w:w="2351"/>
            <w:shd w:val="clear" w:color="auto" w:fill="EBF3FB"/>
          </w:tcPr>
          <w:p>
            <w:r>
              <w:rPr>
                <w:sz w:val="20"/>
              </w:rPr>
              <w:t>0.8583</w:t>
            </w:r>
          </w:p>
        </w:tc>
      </w:tr>
      <w:tr>
        <w:tc>
          <w:tcPr>
            <w:tcW w:type="dxa" w:w="2351"/>
          </w:tcPr>
          <w:p>
            <w:r>
              <w:rPr>
                <w:sz w:val="20"/>
              </w:rPr>
              <w:t>CV-Accuracy</w:t>
            </w:r>
          </w:p>
        </w:tc>
        <w:tc>
          <w:tcPr>
            <w:tcW w:type="dxa" w:w="2351"/>
          </w:tcPr>
          <w:p>
            <w:r>
              <w:rPr>
                <w:sz w:val="20"/>
              </w:rPr>
              <w:t>60.29%</w:t>
            </w:r>
          </w:p>
        </w:tc>
        <w:tc>
          <w:tcPr>
            <w:tcW w:type="dxa" w:w="2351"/>
          </w:tcPr>
          <w:p>
            <w:r>
              <w:rPr>
                <w:sz w:val="20"/>
              </w:rPr>
              <w:t>69.58%</w:t>
            </w:r>
          </w:p>
        </w:tc>
        <w:tc>
          <w:tcPr>
            <w:tcW w:type="dxa" w:w="2351"/>
          </w:tcPr>
          <w:p>
            <w:r>
              <w:rPr>
                <w:sz w:val="20"/>
              </w:rPr>
              <w:t>70.03%</w:t>
            </w:r>
          </w:p>
        </w:tc>
      </w:tr>
    </w:tbl>
    <w:p>
      <w:r>
        <w:br w:type="page"/>
      </w:r>
    </w:p>
    <w:p>
      <w:pPr>
        <w:pStyle w:val="Heading1"/>
      </w:pPr>
      <w:r>
        <w:rPr>
          <w:color w:val="1A3A5C"/>
        </w:rPr>
        <w:t>2. Dataset Overview</w:t>
      </w:r>
    </w:p>
    <w:p>
      <w:r>
        <w:rPr>
          <w:b w:val="0"/>
          <w:sz w:val="22"/>
        </w:rPr>
        <w:t>The dataset contains monthly financial snapshots for 12,500 unique customers tracked across 8 months, resulting in 100,000 training rows. The test set contains 50,000 rows for which creditworthiness predictions are generated.</w:t>
      </w:r>
    </w:p>
    <w:p/>
    <w:p>
      <w:pPr>
        <w:pStyle w:val="Heading2"/>
      </w:pPr>
      <w:r>
        <w:rPr>
          <w:color w:val="1A3A5C"/>
        </w:rPr>
        <w:t>2.1 Dataset Dimensions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20"/>
              </w:rPr>
              <w:t>Dataset</w:t>
            </w:r>
          </w:p>
        </w:tc>
        <w:tc>
          <w:tcPr>
            <w:tcW w:type="dxa" w:w="2351"/>
            <w:shd w:val="clear" w:color="auto" w:fill="1A3A5C"/>
          </w:tcPr>
          <w:p>
            <w:r>
              <w:rPr>
                <w:b/>
                <w:color w:val="FFFFFF"/>
                <w:sz w:val="20"/>
              </w:rPr>
              <w:t>Rows</w:t>
            </w:r>
          </w:p>
        </w:tc>
        <w:tc>
          <w:tcPr>
            <w:tcW w:type="dxa" w:w="2351"/>
            <w:shd w:val="clear" w:color="auto" w:fill="1A3A5C"/>
          </w:tcPr>
          <w:p>
            <w:r>
              <w:rPr>
                <w:b/>
                <w:color w:val="FFFFFF"/>
                <w:sz w:val="20"/>
              </w:rPr>
              <w:t>Columns</w:t>
            </w:r>
          </w:p>
        </w:tc>
        <w:tc>
          <w:tcPr>
            <w:tcW w:type="dxa" w:w="2351"/>
            <w:shd w:val="clear" w:color="auto" w:fill="1A3A5C"/>
          </w:tcPr>
          <w:p>
            <w:r>
              <w:rPr>
                <w:b/>
                <w:color w:val="FFFFFF"/>
                <w:sz w:val="20"/>
              </w:rPr>
              <w:t>Target</w:t>
            </w:r>
          </w:p>
        </w:tc>
      </w:tr>
      <w:tr>
        <w:tc>
          <w:tcPr>
            <w:tcW w:type="dxa" w:w="2351"/>
            <w:shd w:val="clear" w:color="auto" w:fill="EBF3FB"/>
          </w:tcPr>
          <w:p>
            <w:r>
              <w:rPr>
                <w:sz w:val="20"/>
              </w:rPr>
              <w:t>train.csv</w:t>
            </w:r>
          </w:p>
        </w:tc>
        <w:tc>
          <w:tcPr>
            <w:tcW w:type="dxa" w:w="2351"/>
            <w:shd w:val="clear" w:color="auto" w:fill="EBF3FB"/>
          </w:tcPr>
          <w:p>
            <w:r>
              <w:rPr>
                <w:sz w:val="20"/>
              </w:rPr>
              <w:t>100,000</w:t>
            </w:r>
          </w:p>
        </w:tc>
        <w:tc>
          <w:tcPr>
            <w:tcW w:type="dxa" w:w="2351"/>
            <w:shd w:val="clear" w:color="auto" w:fill="EBF3FB"/>
          </w:tcPr>
          <w:p>
            <w:r>
              <w:rPr>
                <w:sz w:val="20"/>
              </w:rPr>
              <w:t>28</w:t>
            </w:r>
          </w:p>
        </w:tc>
        <w:tc>
          <w:tcPr>
            <w:tcW w:type="dxa" w:w="2351"/>
            <w:shd w:val="clear" w:color="auto" w:fill="EBF3FB"/>
          </w:tcPr>
          <w:p>
            <w:r>
              <w:rPr>
                <w:sz w:val="20"/>
              </w:rPr>
              <w:t>Credit_Score (Good/Standard/Poor)</w:t>
            </w:r>
          </w:p>
        </w:tc>
      </w:tr>
      <w:tr>
        <w:tc>
          <w:tcPr>
            <w:tcW w:type="dxa" w:w="2351"/>
          </w:tcPr>
          <w:p>
            <w:r>
              <w:rPr>
                <w:sz w:val="20"/>
              </w:rPr>
              <w:t>test.csv</w:t>
            </w:r>
          </w:p>
        </w:tc>
        <w:tc>
          <w:tcPr>
            <w:tcW w:type="dxa" w:w="2351"/>
          </w:tcPr>
          <w:p>
            <w:r>
              <w:rPr>
                <w:sz w:val="20"/>
              </w:rPr>
              <w:t>50,000</w:t>
            </w:r>
          </w:p>
        </w:tc>
        <w:tc>
          <w:tcPr>
            <w:tcW w:type="dxa" w:w="2351"/>
          </w:tcPr>
          <w:p>
            <w:r>
              <w:rPr>
                <w:sz w:val="20"/>
              </w:rPr>
              <w:t>27</w:t>
            </w:r>
          </w:p>
        </w:tc>
        <w:tc>
          <w:tcPr>
            <w:tcW w:type="dxa" w:w="2351"/>
          </w:tcPr>
          <w:p>
            <w:r>
              <w:rPr>
                <w:sz w:val="20"/>
              </w:rPr>
              <w:t>Not provided — to be predicted</w:t>
            </w:r>
          </w:p>
        </w:tc>
      </w:tr>
    </w:tbl>
    <w:p/>
    <w:p>
      <w:pPr>
        <w:pStyle w:val="Heading2"/>
      </w:pPr>
      <w:r>
        <w:rPr>
          <w:color w:val="1A3A5C"/>
        </w:rPr>
        <w:t>2.2 Feature Descriptions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20"/>
              </w:rPr>
              <w:t>Feature</w:t>
            </w:r>
          </w:p>
        </w:tc>
        <w:tc>
          <w:tcPr>
            <w:tcW w:type="dxa" w:w="3135"/>
            <w:shd w:val="clear" w:color="auto" w:fill="1A3A5C"/>
          </w:tcPr>
          <w:p>
            <w:r>
              <w:rPr>
                <w:b/>
                <w:color w:val="FFFFFF"/>
                <w:sz w:val="20"/>
              </w:rPr>
              <w:t>Type</w:t>
            </w:r>
          </w:p>
        </w:tc>
        <w:tc>
          <w:tcPr>
            <w:tcW w:type="dxa" w:w="3135"/>
            <w:shd w:val="clear" w:color="auto" w:fill="1A3A5C"/>
          </w:tcPr>
          <w:p>
            <w:r>
              <w:rPr>
                <w:b/>
                <w:color w:val="FFFFFF"/>
                <w:sz w:val="20"/>
              </w:rPr>
              <w:t>Description</w:t>
            </w:r>
          </w:p>
        </w:tc>
      </w:tr>
      <w:tr>
        <w:tc>
          <w:tcPr>
            <w:tcW w:type="dxa" w:w="3135"/>
            <w:shd w:val="clear" w:color="auto" w:fill="EBF3FB"/>
          </w:tcPr>
          <w:p>
            <w:r>
              <w:rPr>
                <w:sz w:val="20"/>
              </w:rPr>
              <w:t>Age</w:t>
            </w:r>
          </w:p>
        </w:tc>
        <w:tc>
          <w:tcPr>
            <w:tcW w:type="dxa" w:w="3135"/>
            <w:shd w:val="clear" w:color="auto" w:fill="EBF3FB"/>
          </w:tcPr>
          <w:p>
            <w:r>
              <w:rPr>
                <w:sz w:val="20"/>
              </w:rPr>
              <w:t>Numeric</w:t>
            </w:r>
          </w:p>
        </w:tc>
        <w:tc>
          <w:tcPr>
            <w:tcW w:type="dxa" w:w="3135"/>
            <w:shd w:val="clear" w:color="auto" w:fill="EBF3FB"/>
          </w:tcPr>
          <w:p>
            <w:r>
              <w:rPr>
                <w:sz w:val="20"/>
              </w:rPr>
              <w:t>Customer age (contains noisy values)</w:t>
            </w:r>
          </w:p>
        </w:tc>
      </w:tr>
      <w:tr>
        <w:tc>
          <w:tcPr>
            <w:tcW w:type="dxa" w:w="3135"/>
          </w:tcPr>
          <w:p>
            <w:r>
              <w:rPr>
                <w:sz w:val="20"/>
              </w:rPr>
              <w:t>Annual_Income</w:t>
            </w:r>
          </w:p>
        </w:tc>
        <w:tc>
          <w:tcPr>
            <w:tcW w:type="dxa" w:w="3135"/>
          </w:tcPr>
          <w:p>
            <w:r>
              <w:rPr>
                <w:sz w:val="20"/>
              </w:rPr>
              <w:t>Numeric</w:t>
            </w:r>
          </w:p>
        </w:tc>
        <w:tc>
          <w:tcPr>
            <w:tcW w:type="dxa" w:w="3135"/>
          </w:tcPr>
          <w:p>
            <w:r>
              <w:rPr>
                <w:sz w:val="20"/>
              </w:rPr>
              <w:t>Gross annual income</w:t>
            </w:r>
          </w:p>
        </w:tc>
      </w:tr>
      <w:tr>
        <w:tc>
          <w:tcPr>
            <w:tcW w:type="dxa" w:w="3135"/>
            <w:shd w:val="clear" w:color="auto" w:fill="EBF3FB"/>
          </w:tcPr>
          <w:p>
            <w:r>
              <w:rPr>
                <w:sz w:val="20"/>
              </w:rPr>
              <w:t>Monthly_Inhand_Salary</w:t>
            </w:r>
          </w:p>
        </w:tc>
        <w:tc>
          <w:tcPr>
            <w:tcW w:type="dxa" w:w="3135"/>
            <w:shd w:val="clear" w:color="auto" w:fill="EBF3FB"/>
          </w:tcPr>
          <w:p>
            <w:r>
              <w:rPr>
                <w:sz w:val="20"/>
              </w:rPr>
              <w:t>Numeric</w:t>
            </w:r>
          </w:p>
        </w:tc>
        <w:tc>
          <w:tcPr>
            <w:tcW w:type="dxa" w:w="3135"/>
            <w:shd w:val="clear" w:color="auto" w:fill="EBF3FB"/>
          </w:tcPr>
          <w:p>
            <w:r>
              <w:rPr>
                <w:sz w:val="20"/>
              </w:rPr>
              <w:t>Net monthly take-home salary</w:t>
            </w:r>
          </w:p>
        </w:tc>
      </w:tr>
      <w:tr>
        <w:tc>
          <w:tcPr>
            <w:tcW w:type="dxa" w:w="3135"/>
          </w:tcPr>
          <w:p>
            <w:r>
              <w:rPr>
                <w:sz w:val="20"/>
              </w:rPr>
              <w:t>Num_Bank_Accounts</w:t>
            </w:r>
          </w:p>
        </w:tc>
        <w:tc>
          <w:tcPr>
            <w:tcW w:type="dxa" w:w="3135"/>
          </w:tcPr>
          <w:p>
            <w:r>
              <w:rPr>
                <w:sz w:val="20"/>
              </w:rPr>
              <w:t>Numeric</w:t>
            </w:r>
          </w:p>
        </w:tc>
        <w:tc>
          <w:tcPr>
            <w:tcW w:type="dxa" w:w="3135"/>
          </w:tcPr>
          <w:p>
            <w:r>
              <w:rPr>
                <w:sz w:val="20"/>
              </w:rPr>
              <w:t>Number of active bank accounts</w:t>
            </w:r>
          </w:p>
        </w:tc>
      </w:tr>
      <w:tr>
        <w:tc>
          <w:tcPr>
            <w:tcW w:type="dxa" w:w="3135"/>
            <w:shd w:val="clear" w:color="auto" w:fill="EBF3FB"/>
          </w:tcPr>
          <w:p>
            <w:r>
              <w:rPr>
                <w:sz w:val="20"/>
              </w:rPr>
              <w:t>Num_Credit_Card</w:t>
            </w:r>
          </w:p>
        </w:tc>
        <w:tc>
          <w:tcPr>
            <w:tcW w:type="dxa" w:w="3135"/>
            <w:shd w:val="clear" w:color="auto" w:fill="EBF3FB"/>
          </w:tcPr>
          <w:p>
            <w:r>
              <w:rPr>
                <w:sz w:val="20"/>
              </w:rPr>
              <w:t>Numeric</w:t>
            </w:r>
          </w:p>
        </w:tc>
        <w:tc>
          <w:tcPr>
            <w:tcW w:type="dxa" w:w="3135"/>
            <w:shd w:val="clear" w:color="auto" w:fill="EBF3FB"/>
          </w:tcPr>
          <w:p>
            <w:r>
              <w:rPr>
                <w:sz w:val="20"/>
              </w:rPr>
              <w:t>Number of credit cards held</w:t>
            </w:r>
          </w:p>
        </w:tc>
      </w:tr>
      <w:tr>
        <w:tc>
          <w:tcPr>
            <w:tcW w:type="dxa" w:w="3135"/>
          </w:tcPr>
          <w:p>
            <w:r>
              <w:rPr>
                <w:sz w:val="20"/>
              </w:rPr>
              <w:t>Interest_Rate</w:t>
            </w:r>
          </w:p>
        </w:tc>
        <w:tc>
          <w:tcPr>
            <w:tcW w:type="dxa" w:w="3135"/>
          </w:tcPr>
          <w:p>
            <w:r>
              <w:rPr>
                <w:sz w:val="20"/>
              </w:rPr>
              <w:t>Numeric</w:t>
            </w:r>
          </w:p>
        </w:tc>
        <w:tc>
          <w:tcPr>
            <w:tcW w:type="dxa" w:w="3135"/>
          </w:tcPr>
          <w:p>
            <w:r>
              <w:rPr>
                <w:sz w:val="20"/>
              </w:rPr>
              <w:t>Average interest rate across loans</w:t>
            </w:r>
          </w:p>
        </w:tc>
      </w:tr>
      <w:tr>
        <w:tc>
          <w:tcPr>
            <w:tcW w:type="dxa" w:w="3135"/>
            <w:shd w:val="clear" w:color="auto" w:fill="EBF3FB"/>
          </w:tcPr>
          <w:p>
            <w:r>
              <w:rPr>
                <w:sz w:val="20"/>
              </w:rPr>
              <w:t>Num_of_Loan</w:t>
            </w:r>
          </w:p>
        </w:tc>
        <w:tc>
          <w:tcPr>
            <w:tcW w:type="dxa" w:w="3135"/>
            <w:shd w:val="clear" w:color="auto" w:fill="EBF3FB"/>
          </w:tcPr>
          <w:p>
            <w:r>
              <w:rPr>
                <w:sz w:val="20"/>
              </w:rPr>
              <w:t>Numeric</w:t>
            </w:r>
          </w:p>
        </w:tc>
        <w:tc>
          <w:tcPr>
            <w:tcW w:type="dxa" w:w="3135"/>
            <w:shd w:val="clear" w:color="auto" w:fill="EBF3FB"/>
          </w:tcPr>
          <w:p>
            <w:r>
              <w:rPr>
                <w:sz w:val="20"/>
              </w:rPr>
              <w:t>Total number of loans</w:t>
            </w:r>
          </w:p>
        </w:tc>
      </w:tr>
      <w:tr>
        <w:tc>
          <w:tcPr>
            <w:tcW w:type="dxa" w:w="3135"/>
          </w:tcPr>
          <w:p>
            <w:r>
              <w:rPr>
                <w:sz w:val="20"/>
              </w:rPr>
              <w:t>Type_of_Loan</w:t>
            </w:r>
          </w:p>
        </w:tc>
        <w:tc>
          <w:tcPr>
            <w:tcW w:type="dxa" w:w="3135"/>
          </w:tcPr>
          <w:p>
            <w:r>
              <w:rPr>
                <w:sz w:val="20"/>
              </w:rPr>
              <w:t>Categorical</w:t>
            </w:r>
          </w:p>
        </w:tc>
        <w:tc>
          <w:tcPr>
            <w:tcW w:type="dxa" w:w="3135"/>
          </w:tcPr>
          <w:p>
            <w:r>
              <w:rPr>
                <w:sz w:val="20"/>
              </w:rPr>
              <w:t>Comma-separated list of loan types</w:t>
            </w:r>
          </w:p>
        </w:tc>
      </w:tr>
      <w:tr>
        <w:tc>
          <w:tcPr>
            <w:tcW w:type="dxa" w:w="3135"/>
            <w:shd w:val="clear" w:color="auto" w:fill="EBF3FB"/>
          </w:tcPr>
          <w:p>
            <w:r>
              <w:rPr>
                <w:sz w:val="20"/>
              </w:rPr>
              <w:t>Delay_from_due_date</w:t>
            </w:r>
          </w:p>
        </w:tc>
        <w:tc>
          <w:tcPr>
            <w:tcW w:type="dxa" w:w="3135"/>
            <w:shd w:val="clear" w:color="auto" w:fill="EBF3FB"/>
          </w:tcPr>
          <w:p>
            <w:r>
              <w:rPr>
                <w:sz w:val="20"/>
              </w:rPr>
              <w:t>Numeric</w:t>
            </w:r>
          </w:p>
        </w:tc>
        <w:tc>
          <w:tcPr>
            <w:tcW w:type="dxa" w:w="3135"/>
            <w:shd w:val="clear" w:color="auto" w:fill="EBF3FB"/>
          </w:tcPr>
          <w:p>
            <w:r>
              <w:rPr>
                <w:sz w:val="20"/>
              </w:rPr>
              <w:t>Average days payment was delayed</w:t>
            </w:r>
          </w:p>
        </w:tc>
      </w:tr>
      <w:tr>
        <w:tc>
          <w:tcPr>
            <w:tcW w:type="dxa" w:w="3135"/>
          </w:tcPr>
          <w:p>
            <w:r>
              <w:rPr>
                <w:sz w:val="20"/>
              </w:rPr>
              <w:t>Num_of_Delayed_Payment</w:t>
            </w:r>
          </w:p>
        </w:tc>
        <w:tc>
          <w:tcPr>
            <w:tcW w:type="dxa" w:w="3135"/>
          </w:tcPr>
          <w:p>
            <w:r>
              <w:rPr>
                <w:sz w:val="20"/>
              </w:rPr>
              <w:t>Numeric</w:t>
            </w:r>
          </w:p>
        </w:tc>
        <w:tc>
          <w:tcPr>
            <w:tcW w:type="dxa" w:w="3135"/>
          </w:tcPr>
          <w:p>
            <w:r>
              <w:rPr>
                <w:sz w:val="20"/>
              </w:rPr>
              <w:t>Count of late/delayed payments</w:t>
            </w:r>
          </w:p>
        </w:tc>
      </w:tr>
      <w:tr>
        <w:tc>
          <w:tcPr>
            <w:tcW w:type="dxa" w:w="3135"/>
            <w:shd w:val="clear" w:color="auto" w:fill="EBF3FB"/>
          </w:tcPr>
          <w:p>
            <w:r>
              <w:rPr>
                <w:sz w:val="20"/>
              </w:rPr>
              <w:t>Changed_Credit_Limit</w:t>
            </w:r>
          </w:p>
        </w:tc>
        <w:tc>
          <w:tcPr>
            <w:tcW w:type="dxa" w:w="3135"/>
            <w:shd w:val="clear" w:color="auto" w:fill="EBF3FB"/>
          </w:tcPr>
          <w:p>
            <w:r>
              <w:rPr>
                <w:sz w:val="20"/>
              </w:rPr>
              <w:t>Numeric</w:t>
            </w:r>
          </w:p>
        </w:tc>
        <w:tc>
          <w:tcPr>
            <w:tcW w:type="dxa" w:w="3135"/>
            <w:shd w:val="clear" w:color="auto" w:fill="EBF3FB"/>
          </w:tcPr>
          <w:p>
            <w:r>
              <w:rPr>
                <w:sz w:val="20"/>
              </w:rPr>
              <w:t>Credit limit change amount</w:t>
            </w:r>
          </w:p>
        </w:tc>
      </w:tr>
      <w:tr>
        <w:tc>
          <w:tcPr>
            <w:tcW w:type="dxa" w:w="3135"/>
          </w:tcPr>
          <w:p>
            <w:r>
              <w:rPr>
                <w:sz w:val="20"/>
              </w:rPr>
              <w:t>Outstanding_Debt</w:t>
            </w:r>
          </w:p>
        </w:tc>
        <w:tc>
          <w:tcPr>
            <w:tcW w:type="dxa" w:w="3135"/>
          </w:tcPr>
          <w:p>
            <w:r>
              <w:rPr>
                <w:sz w:val="20"/>
              </w:rPr>
              <w:t>Numeric</w:t>
            </w:r>
          </w:p>
        </w:tc>
        <w:tc>
          <w:tcPr>
            <w:tcW w:type="dxa" w:w="3135"/>
          </w:tcPr>
          <w:p>
            <w:r>
              <w:rPr>
                <w:sz w:val="20"/>
              </w:rPr>
              <w:t>Total outstanding debt balance</w:t>
            </w:r>
          </w:p>
        </w:tc>
      </w:tr>
      <w:tr>
        <w:tc>
          <w:tcPr>
            <w:tcW w:type="dxa" w:w="3135"/>
            <w:shd w:val="clear" w:color="auto" w:fill="EBF3FB"/>
          </w:tcPr>
          <w:p>
            <w:r>
              <w:rPr>
                <w:sz w:val="20"/>
              </w:rPr>
              <w:t>Credit_Utilization_Ratio</w:t>
            </w:r>
          </w:p>
        </w:tc>
        <w:tc>
          <w:tcPr>
            <w:tcW w:type="dxa" w:w="3135"/>
            <w:shd w:val="clear" w:color="auto" w:fill="EBF3FB"/>
          </w:tcPr>
          <w:p>
            <w:r>
              <w:rPr>
                <w:sz w:val="20"/>
              </w:rPr>
              <w:t>Numeric</w:t>
            </w:r>
          </w:p>
        </w:tc>
        <w:tc>
          <w:tcPr>
            <w:tcW w:type="dxa" w:w="3135"/>
            <w:shd w:val="clear" w:color="auto" w:fill="EBF3FB"/>
          </w:tcPr>
          <w:p>
            <w:r>
              <w:rPr>
                <w:sz w:val="20"/>
              </w:rPr>
              <w:t>Credit usage as % of limit</w:t>
            </w:r>
          </w:p>
        </w:tc>
      </w:tr>
      <w:tr>
        <w:tc>
          <w:tcPr>
            <w:tcW w:type="dxa" w:w="3135"/>
          </w:tcPr>
          <w:p>
            <w:r>
              <w:rPr>
                <w:sz w:val="20"/>
              </w:rPr>
              <w:t>Credit_History_Age</w:t>
            </w:r>
          </w:p>
        </w:tc>
        <w:tc>
          <w:tcPr>
            <w:tcW w:type="dxa" w:w="3135"/>
          </w:tcPr>
          <w:p>
            <w:r>
              <w:rPr>
                <w:sz w:val="20"/>
              </w:rPr>
              <w:t>Text</w:t>
            </w:r>
          </w:p>
        </w:tc>
        <w:tc>
          <w:tcPr>
            <w:tcW w:type="dxa" w:w="3135"/>
          </w:tcPr>
          <w:p>
            <w:r>
              <w:rPr>
                <w:sz w:val="20"/>
              </w:rPr>
              <w:t>Length of credit history (e.g., '5 Years 3 Months')</w:t>
            </w:r>
          </w:p>
        </w:tc>
      </w:tr>
      <w:tr>
        <w:tc>
          <w:tcPr>
            <w:tcW w:type="dxa" w:w="3135"/>
            <w:shd w:val="clear" w:color="auto" w:fill="EBF3FB"/>
          </w:tcPr>
          <w:p>
            <w:r>
              <w:rPr>
                <w:sz w:val="20"/>
              </w:rPr>
              <w:t>Payment_of_Min_Amount</w:t>
            </w:r>
          </w:p>
        </w:tc>
        <w:tc>
          <w:tcPr>
            <w:tcW w:type="dxa" w:w="3135"/>
            <w:shd w:val="clear" w:color="auto" w:fill="EBF3FB"/>
          </w:tcPr>
          <w:p>
            <w:r>
              <w:rPr>
                <w:sz w:val="20"/>
              </w:rPr>
              <w:t>Categorical</w:t>
            </w:r>
          </w:p>
        </w:tc>
        <w:tc>
          <w:tcPr>
            <w:tcW w:type="dxa" w:w="3135"/>
            <w:shd w:val="clear" w:color="auto" w:fill="EBF3FB"/>
          </w:tcPr>
          <w:p>
            <w:r>
              <w:rPr>
                <w:sz w:val="20"/>
              </w:rPr>
              <w:t>Whether minimum payment is made (Yes/No)</w:t>
            </w:r>
          </w:p>
        </w:tc>
      </w:tr>
      <w:tr>
        <w:tc>
          <w:tcPr>
            <w:tcW w:type="dxa" w:w="3135"/>
          </w:tcPr>
          <w:p>
            <w:r>
              <w:rPr>
                <w:sz w:val="20"/>
              </w:rPr>
              <w:t>Total_EMI_per_month</w:t>
            </w:r>
          </w:p>
        </w:tc>
        <w:tc>
          <w:tcPr>
            <w:tcW w:type="dxa" w:w="3135"/>
          </w:tcPr>
          <w:p>
            <w:r>
              <w:rPr>
                <w:sz w:val="20"/>
              </w:rPr>
              <w:t>Numeric</w:t>
            </w:r>
          </w:p>
        </w:tc>
        <w:tc>
          <w:tcPr>
            <w:tcW w:type="dxa" w:w="3135"/>
          </w:tcPr>
          <w:p>
            <w:r>
              <w:rPr>
                <w:sz w:val="20"/>
              </w:rPr>
              <w:t>Total monthly EMI payment</w:t>
            </w:r>
          </w:p>
        </w:tc>
      </w:tr>
      <w:tr>
        <w:tc>
          <w:tcPr>
            <w:tcW w:type="dxa" w:w="3135"/>
            <w:shd w:val="clear" w:color="auto" w:fill="EBF3FB"/>
          </w:tcPr>
          <w:p>
            <w:r>
              <w:rPr>
                <w:sz w:val="20"/>
              </w:rPr>
              <w:t>Amount_invested_monthly</w:t>
            </w:r>
          </w:p>
        </w:tc>
        <w:tc>
          <w:tcPr>
            <w:tcW w:type="dxa" w:w="3135"/>
            <w:shd w:val="clear" w:color="auto" w:fill="EBF3FB"/>
          </w:tcPr>
          <w:p>
            <w:r>
              <w:rPr>
                <w:sz w:val="20"/>
              </w:rPr>
              <w:t>Numeric</w:t>
            </w:r>
          </w:p>
        </w:tc>
        <w:tc>
          <w:tcPr>
            <w:tcW w:type="dxa" w:w="3135"/>
            <w:shd w:val="clear" w:color="auto" w:fill="EBF3FB"/>
          </w:tcPr>
          <w:p>
            <w:r>
              <w:rPr>
                <w:sz w:val="20"/>
              </w:rPr>
              <w:t>Monthly investment/savings amount</w:t>
            </w:r>
          </w:p>
        </w:tc>
      </w:tr>
      <w:tr>
        <w:tc>
          <w:tcPr>
            <w:tcW w:type="dxa" w:w="3135"/>
          </w:tcPr>
          <w:p>
            <w:r>
              <w:rPr>
                <w:sz w:val="20"/>
              </w:rPr>
              <w:t>Payment_Behaviour</w:t>
            </w:r>
          </w:p>
        </w:tc>
        <w:tc>
          <w:tcPr>
            <w:tcW w:type="dxa" w:w="3135"/>
          </w:tcPr>
          <w:p>
            <w:r>
              <w:rPr>
                <w:sz w:val="20"/>
              </w:rPr>
              <w:t>Categorical</w:t>
            </w:r>
          </w:p>
        </w:tc>
        <w:tc>
          <w:tcPr>
            <w:tcW w:type="dxa" w:w="3135"/>
          </w:tcPr>
          <w:p>
            <w:r>
              <w:rPr>
                <w:sz w:val="20"/>
              </w:rPr>
              <w:t>Spending and payment pattern</w:t>
            </w:r>
          </w:p>
        </w:tc>
      </w:tr>
      <w:tr>
        <w:tc>
          <w:tcPr>
            <w:tcW w:type="dxa" w:w="3135"/>
            <w:shd w:val="clear" w:color="auto" w:fill="EBF3FB"/>
          </w:tcPr>
          <w:p>
            <w:r>
              <w:rPr>
                <w:sz w:val="20"/>
              </w:rPr>
              <w:t>Monthly_Balance</w:t>
            </w:r>
          </w:p>
        </w:tc>
        <w:tc>
          <w:tcPr>
            <w:tcW w:type="dxa" w:w="3135"/>
            <w:shd w:val="clear" w:color="auto" w:fill="EBF3FB"/>
          </w:tcPr>
          <w:p>
            <w:r>
              <w:rPr>
                <w:sz w:val="20"/>
              </w:rPr>
              <w:t>Numeric</w:t>
            </w:r>
          </w:p>
        </w:tc>
        <w:tc>
          <w:tcPr>
            <w:tcW w:type="dxa" w:w="3135"/>
            <w:shd w:val="clear" w:color="auto" w:fill="EBF3FB"/>
          </w:tcPr>
          <w:p>
            <w:r>
              <w:rPr>
                <w:sz w:val="20"/>
              </w:rPr>
              <w:t>Remaining monthly balance</w:t>
            </w:r>
          </w:p>
        </w:tc>
      </w:tr>
      <w:tr>
        <w:tc>
          <w:tcPr>
            <w:tcW w:type="dxa" w:w="3135"/>
          </w:tcPr>
          <w:p>
            <w:r>
              <w:rPr>
                <w:sz w:val="20"/>
              </w:rPr>
              <w:t>Credit_Mix</w:t>
            </w:r>
          </w:p>
        </w:tc>
        <w:tc>
          <w:tcPr>
            <w:tcW w:type="dxa" w:w="3135"/>
          </w:tcPr>
          <w:p>
            <w:r>
              <w:rPr>
                <w:sz w:val="20"/>
              </w:rPr>
              <w:t>Categorical</w:t>
            </w:r>
          </w:p>
        </w:tc>
        <w:tc>
          <w:tcPr>
            <w:tcW w:type="dxa" w:w="3135"/>
          </w:tcPr>
          <w:p>
            <w:r>
              <w:rPr>
                <w:sz w:val="20"/>
              </w:rPr>
              <w:t>Quality of credit portfolio (Good/Standard/Bad)</w:t>
            </w:r>
          </w:p>
        </w:tc>
      </w:tr>
      <w:tr>
        <w:tc>
          <w:tcPr>
            <w:tcW w:type="dxa" w:w="3135"/>
            <w:shd w:val="clear" w:color="auto" w:fill="EBF3FB"/>
          </w:tcPr>
          <w:p>
            <w:r>
              <w:rPr>
                <w:sz w:val="20"/>
              </w:rPr>
              <w:t>Occupation</w:t>
            </w:r>
          </w:p>
        </w:tc>
        <w:tc>
          <w:tcPr>
            <w:tcW w:type="dxa" w:w="3135"/>
            <w:shd w:val="clear" w:color="auto" w:fill="EBF3FB"/>
          </w:tcPr>
          <w:p>
            <w:r>
              <w:rPr>
                <w:sz w:val="20"/>
              </w:rPr>
              <w:t>Categorical</w:t>
            </w:r>
          </w:p>
        </w:tc>
        <w:tc>
          <w:tcPr>
            <w:tcW w:type="dxa" w:w="3135"/>
            <w:shd w:val="clear" w:color="auto" w:fill="EBF3FB"/>
          </w:tcPr>
          <w:p>
            <w:r>
              <w:rPr>
                <w:sz w:val="20"/>
              </w:rPr>
              <w:t>Customer occupation</w:t>
            </w:r>
          </w:p>
        </w:tc>
      </w:tr>
      <w:tr>
        <w:tc>
          <w:tcPr>
            <w:tcW w:type="dxa" w:w="3135"/>
          </w:tcPr>
          <w:p>
            <w:r>
              <w:rPr>
                <w:sz w:val="20"/>
              </w:rPr>
              <w:t>Credit_Score</w:t>
            </w:r>
          </w:p>
        </w:tc>
        <w:tc>
          <w:tcPr>
            <w:tcW w:type="dxa" w:w="3135"/>
          </w:tcPr>
          <w:p>
            <w:r>
              <w:rPr>
                <w:sz w:val="20"/>
              </w:rPr>
              <w:t>Target</w:t>
            </w:r>
          </w:p>
        </w:tc>
        <w:tc>
          <w:tcPr>
            <w:tcW w:type="dxa" w:w="3135"/>
          </w:tcPr>
          <w:p>
            <w:r>
              <w:rPr>
                <w:sz w:val="20"/>
              </w:rPr>
              <w:t>Creditworthiness label (Good/Standard/Poor)</w:t>
            </w:r>
          </w:p>
        </w:tc>
      </w:tr>
    </w:tbl>
    <w:p>
      <w:r>
        <w:br w:type="page"/>
      </w:r>
    </w:p>
    <w:p>
      <w:pPr>
        <w:pStyle w:val="Heading1"/>
      </w:pPr>
      <w:r>
        <w:rPr>
          <w:color w:val="1A3A5C"/>
        </w:rPr>
        <w:t>3. Exploratory Data Analysis</w:t>
      </w:r>
    </w:p>
    <w:p>
      <w:pPr>
        <w:pStyle w:val="Heading2"/>
      </w:pPr>
      <w:r>
        <w:rPr>
          <w:color w:val="1A3A5C"/>
        </w:rPr>
        <w:t>3.1 Target Variable Distribution</w:t>
      </w:r>
    </w:p>
    <w:p>
      <w:r>
        <w:rPr>
          <w:b w:val="0"/>
          <w:sz w:val="22"/>
        </w:rPr>
        <w:t>The target variable Credit_Score has three classes. The dataset is moderately imbalanced, with Standard being the majority class at 53.2%.</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20"/>
              </w:rPr>
              <w:t>Credit Score</w:t>
            </w:r>
          </w:p>
        </w:tc>
        <w:tc>
          <w:tcPr>
            <w:tcW w:type="dxa" w:w="3135"/>
            <w:shd w:val="clear" w:color="auto" w:fill="1A3A5C"/>
          </w:tcPr>
          <w:p>
            <w:r>
              <w:rPr>
                <w:b/>
                <w:color w:val="FFFFFF"/>
                <w:sz w:val="20"/>
              </w:rPr>
              <w:t>Count</w:t>
            </w:r>
          </w:p>
        </w:tc>
        <w:tc>
          <w:tcPr>
            <w:tcW w:type="dxa" w:w="3135"/>
            <w:shd w:val="clear" w:color="auto" w:fill="1A3A5C"/>
          </w:tcPr>
          <w:p>
            <w:r>
              <w:rPr>
                <w:b/>
                <w:color w:val="FFFFFF"/>
                <w:sz w:val="20"/>
              </w:rPr>
              <w:t>Proportion</w:t>
            </w:r>
          </w:p>
        </w:tc>
      </w:tr>
      <w:tr>
        <w:tc>
          <w:tcPr>
            <w:tcW w:type="dxa" w:w="3135"/>
            <w:shd w:val="clear" w:color="auto" w:fill="EBF3FB"/>
          </w:tcPr>
          <w:p>
            <w:r>
              <w:rPr>
                <w:sz w:val="20"/>
              </w:rPr>
              <w:t>Standard</w:t>
            </w:r>
          </w:p>
        </w:tc>
        <w:tc>
          <w:tcPr>
            <w:tcW w:type="dxa" w:w="3135"/>
            <w:shd w:val="clear" w:color="auto" w:fill="EBF3FB"/>
          </w:tcPr>
          <w:p>
            <w:r>
              <w:rPr>
                <w:sz w:val="20"/>
              </w:rPr>
              <w:t>53,174</w:t>
            </w:r>
          </w:p>
        </w:tc>
        <w:tc>
          <w:tcPr>
            <w:tcW w:type="dxa" w:w="3135"/>
            <w:shd w:val="clear" w:color="auto" w:fill="EBF3FB"/>
          </w:tcPr>
          <w:p>
            <w:r>
              <w:rPr>
                <w:sz w:val="20"/>
              </w:rPr>
              <w:t>53.17%</w:t>
            </w:r>
          </w:p>
        </w:tc>
      </w:tr>
      <w:tr>
        <w:tc>
          <w:tcPr>
            <w:tcW w:type="dxa" w:w="3135"/>
          </w:tcPr>
          <w:p>
            <w:r>
              <w:rPr>
                <w:sz w:val="20"/>
              </w:rPr>
              <w:t>Poor</w:t>
            </w:r>
          </w:p>
        </w:tc>
        <w:tc>
          <w:tcPr>
            <w:tcW w:type="dxa" w:w="3135"/>
          </w:tcPr>
          <w:p>
            <w:r>
              <w:rPr>
                <w:sz w:val="20"/>
              </w:rPr>
              <w:t>28,998</w:t>
            </w:r>
          </w:p>
        </w:tc>
        <w:tc>
          <w:tcPr>
            <w:tcW w:type="dxa" w:w="3135"/>
          </w:tcPr>
          <w:p>
            <w:r>
              <w:rPr>
                <w:sz w:val="20"/>
              </w:rPr>
              <w:t>29.00%</w:t>
            </w:r>
          </w:p>
        </w:tc>
      </w:tr>
      <w:tr>
        <w:tc>
          <w:tcPr>
            <w:tcW w:type="dxa" w:w="3135"/>
            <w:shd w:val="clear" w:color="auto" w:fill="EBF3FB"/>
          </w:tcPr>
          <w:p>
            <w:r>
              <w:rPr>
                <w:sz w:val="20"/>
              </w:rPr>
              <w:t>Good</w:t>
            </w:r>
          </w:p>
        </w:tc>
        <w:tc>
          <w:tcPr>
            <w:tcW w:type="dxa" w:w="3135"/>
            <w:shd w:val="clear" w:color="auto" w:fill="EBF3FB"/>
          </w:tcPr>
          <w:p>
            <w:r>
              <w:rPr>
                <w:sz w:val="20"/>
              </w:rPr>
              <w:t>17,828</w:t>
            </w:r>
          </w:p>
        </w:tc>
        <w:tc>
          <w:tcPr>
            <w:tcW w:type="dxa" w:w="3135"/>
            <w:shd w:val="clear" w:color="auto" w:fill="EBF3FB"/>
          </w:tcPr>
          <w:p>
            <w:r>
              <w:rPr>
                <w:sz w:val="20"/>
              </w:rPr>
              <w:t>17.83%</w:t>
            </w:r>
          </w:p>
        </w:tc>
      </w:tr>
    </w:tbl>
    <w:p/>
    <w:p>
      <w:pPr>
        <w:jc w:val="center"/>
      </w:pPr>
      <w:r>
        <w:drawing>
          <wp:inline xmlns:a="http://schemas.openxmlformats.org/drawingml/2006/main" xmlns:pic="http://schemas.openxmlformats.org/drawingml/2006/picture">
            <wp:extent cx="5303520" cy="2303097"/>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303520" cy="2303097"/>
                    </a:xfrm>
                    <a:prstGeom prst="rect"/>
                  </pic:spPr>
                </pic:pic>
              </a:graphicData>
            </a:graphic>
          </wp:inline>
        </w:drawing>
      </w:r>
    </w:p>
    <w:p>
      <w:pPr>
        <w:jc w:val="center"/>
      </w:pPr>
      <w:r>
        <w:rPr>
          <w:i/>
          <w:color w:val="555555"/>
          <w:sz w:val="18"/>
        </w:rPr>
        <w:t>Figure 1: Credit Score class distribution and proportions</w:t>
      </w:r>
    </w:p>
    <w:p>
      <w:r>
        <w:br w:type="page"/>
      </w:r>
    </w:p>
    <w:p>
      <w:pPr>
        <w:pStyle w:val="Heading2"/>
      </w:pPr>
      <w:r>
        <w:rPr>
          <w:color w:val="1A3A5C"/>
        </w:rPr>
        <w:t>3.2 Missing Values</w:t>
      </w:r>
    </w:p>
    <w:p>
      <w:r>
        <w:rPr>
          <w:b w:val="0"/>
          <w:sz w:val="22"/>
        </w:rPr>
        <w:t>Several columns have missing values. The most significant is Monthly_Inhand_Salary (15%) and Type_of_Loan (11.4%). All missing values are handled via median imputation during preprocessing.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20"/>
              </w:rPr>
              <w:t>Column</w:t>
            </w:r>
          </w:p>
        </w:tc>
        <w:tc>
          <w:tcPr>
            <w:tcW w:type="dxa" w:w="3135"/>
            <w:shd w:val="clear" w:color="auto" w:fill="1A3A5C"/>
          </w:tcPr>
          <w:p>
            <w:r>
              <w:rPr>
                <w:b/>
                <w:color w:val="FFFFFF"/>
                <w:sz w:val="20"/>
              </w:rPr>
              <w:t>Missing Count</w:t>
            </w:r>
          </w:p>
        </w:tc>
        <w:tc>
          <w:tcPr>
            <w:tcW w:type="dxa" w:w="3135"/>
            <w:shd w:val="clear" w:color="auto" w:fill="1A3A5C"/>
          </w:tcPr>
          <w:p>
            <w:r>
              <w:rPr>
                <w:b/>
                <w:color w:val="FFFFFF"/>
                <w:sz w:val="20"/>
              </w:rPr>
              <w:t>Missing %</w:t>
            </w:r>
          </w:p>
        </w:tc>
      </w:tr>
      <w:tr>
        <w:tc>
          <w:tcPr>
            <w:tcW w:type="dxa" w:w="3135"/>
            <w:shd w:val="clear" w:color="auto" w:fill="EBF3FB"/>
          </w:tcPr>
          <w:p>
            <w:r>
              <w:rPr>
                <w:sz w:val="20"/>
              </w:rPr>
              <w:t>Monthly_Inhand_Salary</w:t>
            </w:r>
          </w:p>
        </w:tc>
        <w:tc>
          <w:tcPr>
            <w:tcW w:type="dxa" w:w="3135"/>
            <w:shd w:val="clear" w:color="auto" w:fill="EBF3FB"/>
          </w:tcPr>
          <w:p>
            <w:r>
              <w:rPr>
                <w:sz w:val="20"/>
              </w:rPr>
              <w:t>15,002</w:t>
            </w:r>
          </w:p>
        </w:tc>
        <w:tc>
          <w:tcPr>
            <w:tcW w:type="dxa" w:w="3135"/>
            <w:shd w:val="clear" w:color="auto" w:fill="EBF3FB"/>
          </w:tcPr>
          <w:p>
            <w:r>
              <w:rPr>
                <w:sz w:val="20"/>
              </w:rPr>
              <w:t>15.00%</w:t>
            </w:r>
          </w:p>
        </w:tc>
      </w:tr>
      <w:tr>
        <w:tc>
          <w:tcPr>
            <w:tcW w:type="dxa" w:w="3135"/>
          </w:tcPr>
          <w:p>
            <w:r>
              <w:rPr>
                <w:sz w:val="20"/>
              </w:rPr>
              <w:t>Type_of_Loan</w:t>
            </w:r>
          </w:p>
        </w:tc>
        <w:tc>
          <w:tcPr>
            <w:tcW w:type="dxa" w:w="3135"/>
          </w:tcPr>
          <w:p>
            <w:r>
              <w:rPr>
                <w:sz w:val="20"/>
              </w:rPr>
              <w:t>11,408</w:t>
            </w:r>
          </w:p>
        </w:tc>
        <w:tc>
          <w:tcPr>
            <w:tcW w:type="dxa" w:w="3135"/>
          </w:tcPr>
          <w:p>
            <w:r>
              <w:rPr>
                <w:sz w:val="20"/>
              </w:rPr>
              <w:t>11.41%</w:t>
            </w:r>
          </w:p>
        </w:tc>
      </w:tr>
      <w:tr>
        <w:tc>
          <w:tcPr>
            <w:tcW w:type="dxa" w:w="3135"/>
            <w:shd w:val="clear" w:color="auto" w:fill="EBF3FB"/>
          </w:tcPr>
          <w:p>
            <w:r>
              <w:rPr>
                <w:sz w:val="20"/>
              </w:rPr>
              <w:t>Name</w:t>
            </w:r>
          </w:p>
        </w:tc>
        <w:tc>
          <w:tcPr>
            <w:tcW w:type="dxa" w:w="3135"/>
            <w:shd w:val="clear" w:color="auto" w:fill="EBF3FB"/>
          </w:tcPr>
          <w:p>
            <w:r>
              <w:rPr>
                <w:sz w:val="20"/>
              </w:rPr>
              <w:t>9,985</w:t>
            </w:r>
          </w:p>
        </w:tc>
        <w:tc>
          <w:tcPr>
            <w:tcW w:type="dxa" w:w="3135"/>
            <w:shd w:val="clear" w:color="auto" w:fill="EBF3FB"/>
          </w:tcPr>
          <w:p>
            <w:r>
              <w:rPr>
                <w:sz w:val="20"/>
              </w:rPr>
              <w:t>9.98%</w:t>
            </w:r>
          </w:p>
        </w:tc>
      </w:tr>
      <w:tr>
        <w:tc>
          <w:tcPr>
            <w:tcW w:type="dxa" w:w="3135"/>
          </w:tcPr>
          <w:p>
            <w:r>
              <w:rPr>
                <w:sz w:val="20"/>
              </w:rPr>
              <w:t>Credit_History_Age</w:t>
            </w:r>
          </w:p>
        </w:tc>
        <w:tc>
          <w:tcPr>
            <w:tcW w:type="dxa" w:w="3135"/>
          </w:tcPr>
          <w:p>
            <w:r>
              <w:rPr>
                <w:sz w:val="20"/>
              </w:rPr>
              <w:t>9,030</w:t>
            </w:r>
          </w:p>
        </w:tc>
        <w:tc>
          <w:tcPr>
            <w:tcW w:type="dxa" w:w="3135"/>
          </w:tcPr>
          <w:p>
            <w:r>
              <w:rPr>
                <w:sz w:val="20"/>
              </w:rPr>
              <w:t>9.03%</w:t>
            </w:r>
          </w:p>
        </w:tc>
      </w:tr>
      <w:tr>
        <w:tc>
          <w:tcPr>
            <w:tcW w:type="dxa" w:w="3135"/>
            <w:shd w:val="clear" w:color="auto" w:fill="EBF3FB"/>
          </w:tcPr>
          <w:p>
            <w:r>
              <w:rPr>
                <w:sz w:val="20"/>
              </w:rPr>
              <w:t>Num_of_Delayed_Payment</w:t>
            </w:r>
          </w:p>
        </w:tc>
        <w:tc>
          <w:tcPr>
            <w:tcW w:type="dxa" w:w="3135"/>
            <w:shd w:val="clear" w:color="auto" w:fill="EBF3FB"/>
          </w:tcPr>
          <w:p>
            <w:r>
              <w:rPr>
                <w:sz w:val="20"/>
              </w:rPr>
              <w:t>7,002</w:t>
            </w:r>
          </w:p>
        </w:tc>
        <w:tc>
          <w:tcPr>
            <w:tcW w:type="dxa" w:w="3135"/>
            <w:shd w:val="clear" w:color="auto" w:fill="EBF3FB"/>
          </w:tcPr>
          <w:p>
            <w:r>
              <w:rPr>
                <w:sz w:val="20"/>
              </w:rPr>
              <w:t>7.00%</w:t>
            </w:r>
          </w:p>
        </w:tc>
      </w:tr>
      <w:tr>
        <w:tc>
          <w:tcPr>
            <w:tcW w:type="dxa" w:w="3135"/>
          </w:tcPr>
          <w:p>
            <w:r>
              <w:rPr>
                <w:sz w:val="20"/>
              </w:rPr>
              <w:t>Amount_invested_monthly</w:t>
            </w:r>
          </w:p>
        </w:tc>
        <w:tc>
          <w:tcPr>
            <w:tcW w:type="dxa" w:w="3135"/>
          </w:tcPr>
          <w:p>
            <w:r>
              <w:rPr>
                <w:sz w:val="20"/>
              </w:rPr>
              <w:t>4,479</w:t>
            </w:r>
          </w:p>
        </w:tc>
        <w:tc>
          <w:tcPr>
            <w:tcW w:type="dxa" w:w="3135"/>
          </w:tcPr>
          <w:p>
            <w:r>
              <w:rPr>
                <w:sz w:val="20"/>
              </w:rPr>
              <w:t>4.48%</w:t>
            </w:r>
          </w:p>
        </w:tc>
      </w:tr>
      <w:tr>
        <w:tc>
          <w:tcPr>
            <w:tcW w:type="dxa" w:w="3135"/>
            <w:shd w:val="clear" w:color="auto" w:fill="EBF3FB"/>
          </w:tcPr>
          <w:p>
            <w:r>
              <w:rPr>
                <w:sz w:val="20"/>
              </w:rPr>
              <w:t>Num_Credit_Inquiries</w:t>
            </w:r>
          </w:p>
        </w:tc>
        <w:tc>
          <w:tcPr>
            <w:tcW w:type="dxa" w:w="3135"/>
            <w:shd w:val="clear" w:color="auto" w:fill="EBF3FB"/>
          </w:tcPr>
          <w:p>
            <w:r>
              <w:rPr>
                <w:sz w:val="20"/>
              </w:rPr>
              <w:t>1,965</w:t>
            </w:r>
          </w:p>
        </w:tc>
        <w:tc>
          <w:tcPr>
            <w:tcW w:type="dxa" w:w="3135"/>
            <w:shd w:val="clear" w:color="auto" w:fill="EBF3FB"/>
          </w:tcPr>
          <w:p>
            <w:r>
              <w:rPr>
                <w:sz w:val="20"/>
              </w:rPr>
              <w:t>1.96%</w:t>
            </w:r>
          </w:p>
        </w:tc>
      </w:tr>
      <w:tr>
        <w:tc>
          <w:tcPr>
            <w:tcW w:type="dxa" w:w="3135"/>
          </w:tcPr>
          <w:p>
            <w:r>
              <w:rPr>
                <w:sz w:val="20"/>
              </w:rPr>
              <w:t>Monthly_Balance</w:t>
            </w:r>
          </w:p>
        </w:tc>
        <w:tc>
          <w:tcPr>
            <w:tcW w:type="dxa" w:w="3135"/>
          </w:tcPr>
          <w:p>
            <w:r>
              <w:rPr>
                <w:sz w:val="20"/>
              </w:rPr>
              <w:t>1,200</w:t>
            </w:r>
          </w:p>
        </w:tc>
        <w:tc>
          <w:tcPr>
            <w:tcW w:type="dxa" w:w="3135"/>
          </w:tcPr>
          <w:p>
            <w:r>
              <w:rPr>
                <w:sz w:val="20"/>
              </w:rPr>
              <w:t>1.20%</w:t>
            </w:r>
          </w:p>
        </w:tc>
      </w:tr>
    </w:tbl>
    <w:p/>
    <w:p>
      <w:pPr>
        <w:jc w:val="center"/>
      </w:pPr>
      <w:r>
        <w:drawing>
          <wp:inline xmlns:a="http://schemas.openxmlformats.org/drawingml/2006/main" xmlns:pic="http://schemas.openxmlformats.org/drawingml/2006/picture">
            <wp:extent cx="5029200" cy="2451607"/>
            <wp:docPr id="2" name="Picture 2"/>
            <wp:cNvGraphicFramePr>
              <a:graphicFrameLocks noChangeAspect="1"/>
            </wp:cNvGraphicFramePr>
            <a:graphic>
              <a:graphicData uri="http://schemas.openxmlformats.org/drawingml/2006/picture">
                <pic:pic>
                  <pic:nvPicPr>
                    <pic:cNvPr id="0" name="02_missing_values.png"/>
                    <pic:cNvPicPr/>
                  </pic:nvPicPr>
                  <pic:blipFill>
                    <a:blip r:embed="rId10"/>
                    <a:stretch>
                      <a:fillRect/>
                    </a:stretch>
                  </pic:blipFill>
                  <pic:spPr>
                    <a:xfrm>
                      <a:off x="0" y="0"/>
                      <a:ext cx="5029200" cy="2451607"/>
                    </a:xfrm>
                    <a:prstGeom prst="rect"/>
                  </pic:spPr>
                </pic:pic>
              </a:graphicData>
            </a:graphic>
          </wp:inline>
        </w:drawing>
      </w:r>
    </w:p>
    <w:p>
      <w:pPr>
        <w:jc w:val="center"/>
      </w:pPr>
      <w:r>
        <w:rPr>
          <w:i/>
          <w:color w:val="555555"/>
          <w:sz w:val="18"/>
        </w:rPr>
        <w:t>Figure 2: Missing values per column</w:t>
      </w:r>
    </w:p>
    <w:p>
      <w:r>
        <w:br w:type="page"/>
      </w:r>
    </w:p>
    <w:p>
      <w:pPr>
        <w:pStyle w:val="Heading2"/>
      </w:pPr>
      <w:r>
        <w:rPr>
          <w:color w:val="1A3A5C"/>
        </w:rPr>
        <w:t>3.3 Numerical Feature Distributions</w:t>
      </w:r>
    </w:p>
    <w:p>
      <w:r>
        <w:rPr>
          <w:b w:val="0"/>
          <w:sz w:val="22"/>
        </w:rPr>
        <w:t>Numerical features show wide variation and significant outliers. Several features (e.g., Num_Bank_Accounts, Interest_Rate) have extreme outlier values that were handled through robust scaling and clipping.</w:t>
      </w:r>
    </w:p>
    <w:p/>
    <w:p>
      <w:pPr>
        <w:jc w:val="center"/>
      </w:pPr>
      <w:r>
        <w:drawing>
          <wp:inline xmlns:a="http://schemas.openxmlformats.org/drawingml/2006/main" xmlns:pic="http://schemas.openxmlformats.org/drawingml/2006/picture">
            <wp:extent cx="5669280" cy="5067233"/>
            <wp:docPr id="3" name="Picture 3"/>
            <wp:cNvGraphicFramePr>
              <a:graphicFrameLocks noChangeAspect="1"/>
            </wp:cNvGraphicFramePr>
            <a:graphic>
              <a:graphicData uri="http://schemas.openxmlformats.org/drawingml/2006/picture">
                <pic:pic>
                  <pic:nvPicPr>
                    <pic:cNvPr id="0" name="03_numerical_distributions.png"/>
                    <pic:cNvPicPr/>
                  </pic:nvPicPr>
                  <pic:blipFill>
                    <a:blip r:embed="rId11"/>
                    <a:stretch>
                      <a:fillRect/>
                    </a:stretch>
                  </pic:blipFill>
                  <pic:spPr>
                    <a:xfrm>
                      <a:off x="0" y="0"/>
                      <a:ext cx="5669280" cy="5067233"/>
                    </a:xfrm>
                    <a:prstGeom prst="rect"/>
                  </pic:spPr>
                </pic:pic>
              </a:graphicData>
            </a:graphic>
          </wp:inline>
        </w:drawing>
      </w:r>
    </w:p>
    <w:p>
      <w:pPr>
        <w:jc w:val="center"/>
      </w:pPr>
      <w:r>
        <w:rPr>
          <w:i/>
          <w:color w:val="555555"/>
          <w:sz w:val="18"/>
        </w:rPr>
        <w:t>Figure 3: Distribution of all numerical features</w:t>
      </w:r>
    </w:p>
    <w:p>
      <w:r>
        <w:br w:type="page"/>
      </w:r>
    </w:p>
    <w:p>
      <w:pPr>
        <w:pStyle w:val="Heading2"/>
      </w:pPr>
      <w:r>
        <w:rPr>
          <w:color w:val="1A3A5C"/>
        </w:rPr>
        <w:t>3.4 Key Features vs Credit Score</w:t>
      </w:r>
    </w:p>
    <w:p>
      <w:r>
        <w:rPr>
          <w:b w:val="0"/>
          <w:sz w:val="22"/>
        </w:rPr>
        <w:t>Boxplots reveal clear separation between credit score classes for Outstanding Debt, Interest Rate, and Num_of_Delayed_Payment, confirming their predictive importance.</w:t>
      </w:r>
    </w:p>
    <w:p/>
    <w:p>
      <w:pPr>
        <w:jc w:val="center"/>
      </w:pPr>
      <w:r>
        <w:drawing>
          <wp:inline xmlns:a="http://schemas.openxmlformats.org/drawingml/2006/main" xmlns:pic="http://schemas.openxmlformats.org/drawingml/2006/picture">
            <wp:extent cx="5669280" cy="2804935"/>
            <wp:docPr id="4" name="Picture 4"/>
            <wp:cNvGraphicFramePr>
              <a:graphicFrameLocks noChangeAspect="1"/>
            </wp:cNvGraphicFramePr>
            <a:graphic>
              <a:graphicData uri="http://schemas.openxmlformats.org/drawingml/2006/picture">
                <pic:pic>
                  <pic:nvPicPr>
                    <pic:cNvPr id="0" name="04_boxplots_by_credit_score.png"/>
                    <pic:cNvPicPr/>
                  </pic:nvPicPr>
                  <pic:blipFill>
                    <a:blip r:embed="rId12"/>
                    <a:stretch>
                      <a:fillRect/>
                    </a:stretch>
                  </pic:blipFill>
                  <pic:spPr>
                    <a:xfrm>
                      <a:off x="0" y="0"/>
                      <a:ext cx="5669280" cy="2804935"/>
                    </a:xfrm>
                    <a:prstGeom prst="rect"/>
                  </pic:spPr>
                </pic:pic>
              </a:graphicData>
            </a:graphic>
          </wp:inline>
        </w:drawing>
      </w:r>
    </w:p>
    <w:p>
      <w:pPr>
        <w:jc w:val="center"/>
      </w:pPr>
      <w:r>
        <w:rPr>
          <w:i/>
          <w:color w:val="555555"/>
          <w:sz w:val="18"/>
        </w:rPr>
        <w:t>Figure 4: Key numerical features by credit score class</w:t>
      </w:r>
    </w:p>
    <w:p>
      <w:r>
        <w:br w:type="page"/>
      </w:r>
    </w:p>
    <w:p>
      <w:pPr>
        <w:pStyle w:val="Heading2"/>
      </w:pPr>
      <w:r>
        <w:rPr>
          <w:color w:val="1A3A5C"/>
        </w:rPr>
        <w:t>3.5 Categorical Features vs Credit Score</w:t>
      </w:r>
    </w:p>
    <w:p>
      <w:r>
        <w:rPr>
          <w:b w:val="0"/>
          <w:sz w:val="22"/>
        </w:rPr>
        <w:t>Credit_Mix is the most discriminative categorical feature. Customers with Good credit mix have ~60% probability of Good credit score, while Bad credit mix strongly predicts Poor score.</w:t>
      </w:r>
    </w:p>
    <w:p/>
    <w:p>
      <w:pPr>
        <w:jc w:val="center"/>
      </w:pPr>
      <w:r>
        <w:drawing>
          <wp:inline xmlns:a="http://schemas.openxmlformats.org/drawingml/2006/main" xmlns:pic="http://schemas.openxmlformats.org/drawingml/2006/picture">
            <wp:extent cx="5669280" cy="3542399"/>
            <wp:docPr id="5" name="Picture 5"/>
            <wp:cNvGraphicFramePr>
              <a:graphicFrameLocks noChangeAspect="1"/>
            </wp:cNvGraphicFramePr>
            <a:graphic>
              <a:graphicData uri="http://schemas.openxmlformats.org/drawingml/2006/picture">
                <pic:pic>
                  <pic:nvPicPr>
                    <pic:cNvPr id="0" name="05_categorical_vs_credit_score.png"/>
                    <pic:cNvPicPr/>
                  </pic:nvPicPr>
                  <pic:blipFill>
                    <a:blip r:embed="rId13"/>
                    <a:stretch>
                      <a:fillRect/>
                    </a:stretch>
                  </pic:blipFill>
                  <pic:spPr>
                    <a:xfrm>
                      <a:off x="0" y="0"/>
                      <a:ext cx="5669280" cy="3542399"/>
                    </a:xfrm>
                    <a:prstGeom prst="rect"/>
                  </pic:spPr>
                </pic:pic>
              </a:graphicData>
            </a:graphic>
          </wp:inline>
        </w:drawing>
      </w:r>
    </w:p>
    <w:p>
      <w:pPr>
        <w:jc w:val="center"/>
      </w:pPr>
      <w:r>
        <w:rPr>
          <w:i/>
          <w:color w:val="555555"/>
          <w:sz w:val="18"/>
        </w:rPr>
        <w:t>Figure 5: Categorical features vs credit score</w:t>
      </w:r>
    </w:p>
    <w:p>
      <w:r>
        <w:br w:type="page"/>
      </w:r>
    </w:p>
    <w:p>
      <w:pPr>
        <w:pStyle w:val="Heading1"/>
      </w:pPr>
      <w:r>
        <w:rPr>
          <w:color w:val="1A3A5C"/>
        </w:rPr>
        <w:t>4. Correlation Analysis</w:t>
      </w:r>
    </w:p>
    <w:p>
      <w:pPr>
        <w:pStyle w:val="Heading2"/>
      </w:pPr>
      <w:r>
        <w:rPr>
          <w:color w:val="1A3A5C"/>
        </w:rPr>
        <w:t>4.1 Full Correlation Heatmap</w:t>
      </w:r>
    </w:p>
    <w:p>
      <w:r>
        <w:rPr>
          <w:b w:val="0"/>
          <w:sz w:val="22"/>
        </w:rPr>
        <w:t>The correlation heatmap shows relationships between all numerical features. Outstanding Debt and Delay_from_due_date show the strongest negative correlation with the credit score.</w:t>
      </w:r>
    </w:p>
    <w:p/>
    <w:p>
      <w:pPr>
        <w:jc w:val="center"/>
      </w:pPr>
      <w:r>
        <w:drawing>
          <wp:inline xmlns:a="http://schemas.openxmlformats.org/drawingml/2006/main" xmlns:pic="http://schemas.openxmlformats.org/drawingml/2006/picture">
            <wp:extent cx="5486400" cy="4574346"/>
            <wp:docPr id="6" name="Picture 6"/>
            <wp:cNvGraphicFramePr>
              <a:graphicFrameLocks noChangeAspect="1"/>
            </wp:cNvGraphicFramePr>
            <a:graphic>
              <a:graphicData uri="http://schemas.openxmlformats.org/drawingml/2006/picture">
                <pic:pic>
                  <pic:nvPicPr>
                    <pic:cNvPr id="0" name="06_correlation_heatmap.png"/>
                    <pic:cNvPicPr/>
                  </pic:nvPicPr>
                  <pic:blipFill>
                    <a:blip r:embed="rId14"/>
                    <a:stretch>
                      <a:fillRect/>
                    </a:stretch>
                  </pic:blipFill>
                  <pic:spPr>
                    <a:xfrm>
                      <a:off x="0" y="0"/>
                      <a:ext cx="5486400" cy="4574346"/>
                    </a:xfrm>
                    <a:prstGeom prst="rect"/>
                  </pic:spPr>
                </pic:pic>
              </a:graphicData>
            </a:graphic>
          </wp:inline>
        </w:drawing>
      </w:r>
    </w:p>
    <w:p>
      <w:pPr>
        <w:jc w:val="center"/>
      </w:pPr>
      <w:r>
        <w:rPr>
          <w:i/>
          <w:color w:val="555555"/>
          <w:sz w:val="18"/>
        </w:rPr>
        <w:t>Figure 6: Correlation heatmap of numerical features</w:t>
      </w:r>
    </w:p>
    <w:p/>
    <w:p>
      <w:pPr>
        <w:pStyle w:val="Heading2"/>
      </w:pPr>
      <w:r>
        <w:rPr>
          <w:color w:val="1A3A5C"/>
        </w:rPr>
        <w:t>4.2 Feature Correlations with Target</w:t>
      </w:r>
    </w:p>
    <w:p>
      <w:pPr>
        <w:jc w:val="center"/>
      </w:pPr>
      <w:r>
        <w:drawing>
          <wp:inline xmlns:a="http://schemas.openxmlformats.org/drawingml/2006/main" xmlns:pic="http://schemas.openxmlformats.org/drawingml/2006/picture">
            <wp:extent cx="5029200" cy="3477820"/>
            <wp:docPr id="7" name="Picture 7"/>
            <wp:cNvGraphicFramePr>
              <a:graphicFrameLocks noChangeAspect="1"/>
            </wp:cNvGraphicFramePr>
            <a:graphic>
              <a:graphicData uri="http://schemas.openxmlformats.org/drawingml/2006/picture">
                <pic:pic>
                  <pic:nvPicPr>
                    <pic:cNvPr id="0" name="07_feature_correlation_with_target.png"/>
                    <pic:cNvPicPr/>
                  </pic:nvPicPr>
                  <pic:blipFill>
                    <a:blip r:embed="rId15"/>
                    <a:stretch>
                      <a:fillRect/>
                    </a:stretch>
                  </pic:blipFill>
                  <pic:spPr>
                    <a:xfrm>
                      <a:off x="0" y="0"/>
                      <a:ext cx="5029200" cy="3477820"/>
                    </a:xfrm>
                    <a:prstGeom prst="rect"/>
                  </pic:spPr>
                </pic:pic>
              </a:graphicData>
            </a:graphic>
          </wp:inline>
        </w:drawing>
      </w:r>
    </w:p>
    <w:p>
      <w:pPr>
        <w:jc w:val="center"/>
      </w:pPr>
      <w:r>
        <w:rPr>
          <w:i/>
          <w:color w:val="555555"/>
          <w:sz w:val="18"/>
        </w:rPr>
        <w:t>Figure 7: Individual feature correlations with credit score</w:t>
      </w:r>
    </w:p>
    <w:p>
      <w:r>
        <w:br w:type="page"/>
      </w:r>
    </w:p>
    <w:p>
      <w:pPr>
        <w:pStyle w:val="Heading1"/>
      </w:pPr>
      <w:r>
        <w:rPr>
          <w:color w:val="1A3A5C"/>
        </w:rPr>
        <w:t>5. Financial Feature Analysis</w:t>
      </w:r>
    </w:p>
    <w:p>
      <w:pPr>
        <w:pStyle w:val="Heading2"/>
      </w:pPr>
      <w:r>
        <w:rPr>
          <w:color w:val="1A3A5C"/>
        </w:rPr>
        <w:t>5.1 Income Distribution</w:t>
      </w:r>
    </w:p>
    <w:p>
      <w:r>
        <w:rPr>
          <w:b w:val="0"/>
          <w:sz w:val="22"/>
        </w:rPr>
        <w:t>Annual income distributions overlap significantly across credit score classes, suggesting income alone is not a reliable predictor. However, Good customers show higher median income values.</w:t>
      </w:r>
    </w:p>
    <w:p>
      <w:pPr>
        <w:jc w:val="center"/>
      </w:pPr>
      <w:r>
        <w:drawing>
          <wp:inline xmlns:a="http://schemas.openxmlformats.org/drawingml/2006/main" xmlns:pic="http://schemas.openxmlformats.org/drawingml/2006/picture">
            <wp:extent cx="5303520" cy="2592352"/>
            <wp:docPr id="8" name="Picture 8"/>
            <wp:cNvGraphicFramePr>
              <a:graphicFrameLocks noChangeAspect="1"/>
            </wp:cNvGraphicFramePr>
            <a:graphic>
              <a:graphicData uri="http://schemas.openxmlformats.org/drawingml/2006/picture">
                <pic:pic>
                  <pic:nvPicPr>
                    <pic:cNvPr id="0" name="08_income_by_credit_score.png"/>
                    <pic:cNvPicPr/>
                  </pic:nvPicPr>
                  <pic:blipFill>
                    <a:blip r:embed="rId16"/>
                    <a:stretch>
                      <a:fillRect/>
                    </a:stretch>
                  </pic:blipFill>
                  <pic:spPr>
                    <a:xfrm>
                      <a:off x="0" y="0"/>
                      <a:ext cx="5303520" cy="2592352"/>
                    </a:xfrm>
                    <a:prstGeom prst="rect"/>
                  </pic:spPr>
                </pic:pic>
              </a:graphicData>
            </a:graphic>
          </wp:inline>
        </w:drawing>
      </w:r>
    </w:p>
    <w:p>
      <w:pPr>
        <w:jc w:val="center"/>
      </w:pPr>
      <w:r>
        <w:rPr>
          <w:i/>
          <w:color w:val="555555"/>
          <w:sz w:val="18"/>
        </w:rPr>
        <w:t>Figure 8: Annual income distribution by credit score</w:t>
      </w:r>
    </w:p>
    <w:p/>
    <w:p>
      <w:pPr>
        <w:pStyle w:val="Heading2"/>
      </w:pPr>
      <w:r>
        <w:rPr>
          <w:color w:val="1A3A5C"/>
        </w:rPr>
        <w:t>5.2 Delayed Payments Analysis</w:t>
      </w:r>
    </w:p>
    <w:p>
      <w:r>
        <w:rPr>
          <w:b w:val="0"/>
          <w:sz w:val="22"/>
        </w:rPr>
        <w:t>Number of delayed payments is one of the strongest discriminators. Poor credit customers have significantly more delayed payments on average.</w:t>
      </w:r>
    </w:p>
    <w:p>
      <w:pPr>
        <w:jc w:val="center"/>
      </w:pPr>
      <w:r>
        <w:drawing>
          <wp:inline xmlns:a="http://schemas.openxmlformats.org/drawingml/2006/main" xmlns:pic="http://schemas.openxmlformats.org/drawingml/2006/picture">
            <wp:extent cx="5303520" cy="2592352"/>
            <wp:docPr id="9" name="Picture 9"/>
            <wp:cNvGraphicFramePr>
              <a:graphicFrameLocks noChangeAspect="1"/>
            </wp:cNvGraphicFramePr>
            <a:graphic>
              <a:graphicData uri="http://schemas.openxmlformats.org/drawingml/2006/picture">
                <pic:pic>
                  <pic:nvPicPr>
                    <pic:cNvPr id="0" name="09_delayed_payments_by_score.png"/>
                    <pic:cNvPicPr/>
                  </pic:nvPicPr>
                  <pic:blipFill>
                    <a:blip r:embed="rId17"/>
                    <a:stretch>
                      <a:fillRect/>
                    </a:stretch>
                  </pic:blipFill>
                  <pic:spPr>
                    <a:xfrm>
                      <a:off x="0" y="0"/>
                      <a:ext cx="5303520" cy="2592352"/>
                    </a:xfrm>
                    <a:prstGeom prst="rect"/>
                  </pic:spPr>
                </pic:pic>
              </a:graphicData>
            </a:graphic>
          </wp:inline>
        </w:drawing>
      </w:r>
    </w:p>
    <w:p>
      <w:pPr>
        <w:jc w:val="center"/>
      </w:pPr>
      <w:r>
        <w:rPr>
          <w:i/>
          <w:color w:val="555555"/>
          <w:sz w:val="18"/>
        </w:rPr>
        <w:t>Figure 9: Delayed payments distribution by credit score</w:t>
      </w:r>
    </w:p>
    <w:p>
      <w:r>
        <w:br w:type="page"/>
      </w:r>
    </w:p>
    <w:p>
      <w:pPr>
        <w:pStyle w:val="Heading2"/>
      </w:pPr>
      <w:r>
        <w:rPr>
          <w:color w:val="1A3A5C"/>
        </w:rPr>
        <w:t>5.3 Outstanding Debt Analysis</w:t>
      </w:r>
    </w:p>
    <w:p>
      <w:r>
        <w:rPr>
          <w:b w:val="0"/>
          <w:sz w:val="22"/>
        </w:rPr>
        <w:t>Outstanding Debt shows the clearest separation: Good customers average $801 outstanding debt vs $2,081 for Poor customers — a 2.6x difference.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3A5C"/>
          </w:tcPr>
          <w:p>
            <w:r>
              <w:rPr>
                <w:b/>
                <w:color w:val="FFFFFF"/>
                <w:sz w:val="20"/>
              </w:rPr>
              <w:t>Credit Score</w:t>
            </w:r>
          </w:p>
        </w:tc>
        <w:tc>
          <w:tcPr>
            <w:tcW w:type="dxa" w:w="2351"/>
            <w:shd w:val="clear" w:color="auto" w:fill="1A3A5C"/>
          </w:tcPr>
          <w:p>
            <w:r>
              <w:rPr>
                <w:b/>
                <w:color w:val="FFFFFF"/>
                <w:sz w:val="20"/>
              </w:rPr>
              <w:t>Mean Outstanding Debt</w:t>
            </w:r>
          </w:p>
        </w:tc>
        <w:tc>
          <w:tcPr>
            <w:tcW w:type="dxa" w:w="2351"/>
            <w:shd w:val="clear" w:color="auto" w:fill="1A3A5C"/>
          </w:tcPr>
          <w:p>
            <w:r>
              <w:rPr>
                <w:b/>
                <w:color w:val="FFFFFF"/>
                <w:sz w:val="20"/>
              </w:rPr>
              <w:t>Mean Delayed Payments</w:t>
            </w:r>
          </w:p>
        </w:tc>
        <w:tc>
          <w:tcPr>
            <w:tcW w:type="dxa" w:w="2351"/>
            <w:shd w:val="clear" w:color="auto" w:fill="1A3A5C"/>
          </w:tcPr>
          <w:p>
            <w:r>
              <w:rPr>
                <w:b/>
                <w:color w:val="FFFFFF"/>
                <w:sz w:val="20"/>
              </w:rPr>
              <w:t>Mean Monthly Balance</w:t>
            </w:r>
          </w:p>
        </w:tc>
      </w:tr>
      <w:tr>
        <w:tc>
          <w:tcPr>
            <w:tcW w:type="dxa" w:w="2351"/>
            <w:shd w:val="clear" w:color="auto" w:fill="EBF3FB"/>
          </w:tcPr>
          <w:p>
            <w:r>
              <w:rPr>
                <w:sz w:val="20"/>
              </w:rPr>
              <w:t>Good</w:t>
            </w:r>
          </w:p>
        </w:tc>
        <w:tc>
          <w:tcPr>
            <w:tcW w:type="dxa" w:w="2351"/>
            <w:shd w:val="clear" w:color="auto" w:fill="EBF3FB"/>
          </w:tcPr>
          <w:p>
            <w:r>
              <w:rPr>
                <w:sz w:val="20"/>
              </w:rPr>
              <w:t>$801</w:t>
            </w:r>
          </w:p>
        </w:tc>
        <w:tc>
          <w:tcPr>
            <w:tcW w:type="dxa" w:w="2351"/>
            <w:shd w:val="clear" w:color="auto" w:fill="EBF3FB"/>
          </w:tcPr>
          <w:p>
            <w:r>
              <w:rPr>
                <w:sz w:val="20"/>
              </w:rPr>
              <w:t>26</w:t>
            </w:r>
          </w:p>
        </w:tc>
        <w:tc>
          <w:tcPr>
            <w:tcW w:type="dxa" w:w="2351"/>
            <w:shd w:val="clear" w:color="auto" w:fill="EBF3FB"/>
          </w:tcPr>
          <w:p>
            <w:r>
              <w:rPr>
                <w:sz w:val="20"/>
              </w:rPr>
              <w:t>$401</w:t>
            </w:r>
          </w:p>
        </w:tc>
      </w:tr>
      <w:tr>
        <w:tc>
          <w:tcPr>
            <w:tcW w:type="dxa" w:w="2351"/>
          </w:tcPr>
          <w:p>
            <w:r>
              <w:rPr>
                <w:sz w:val="20"/>
              </w:rPr>
              <w:t>Standard</w:t>
            </w:r>
          </w:p>
        </w:tc>
        <w:tc>
          <w:tcPr>
            <w:tcW w:type="dxa" w:w="2351"/>
          </w:tcPr>
          <w:p>
            <w:r>
              <w:rPr>
                <w:sz w:val="20"/>
              </w:rPr>
              <w:t>$1,278</w:t>
            </w:r>
          </w:p>
        </w:tc>
        <w:tc>
          <w:tcPr>
            <w:tcW w:type="dxa" w:w="2351"/>
          </w:tcPr>
          <w:p>
            <w:r>
              <w:rPr>
                <w:sz w:val="20"/>
              </w:rPr>
              <w:t>32</w:t>
            </w:r>
          </w:p>
        </w:tc>
        <w:tc>
          <w:tcPr>
            <w:tcW w:type="dxa" w:w="2351"/>
          </w:tcPr>
          <w:p>
            <w:r>
              <w:rPr>
                <w:sz w:val="20"/>
              </w:rPr>
              <w:t>$344</w:t>
            </w:r>
          </w:p>
        </w:tc>
      </w:tr>
      <w:tr>
        <w:tc>
          <w:tcPr>
            <w:tcW w:type="dxa" w:w="2351"/>
            <w:shd w:val="clear" w:color="auto" w:fill="EBF3FB"/>
          </w:tcPr>
          <w:p>
            <w:r>
              <w:rPr>
                <w:sz w:val="20"/>
              </w:rPr>
              <w:t>Poor</w:t>
            </w:r>
          </w:p>
        </w:tc>
        <w:tc>
          <w:tcPr>
            <w:tcW w:type="dxa" w:w="2351"/>
            <w:shd w:val="clear" w:color="auto" w:fill="EBF3FB"/>
          </w:tcPr>
          <w:p>
            <w:r>
              <w:rPr>
                <w:sz w:val="20"/>
              </w:rPr>
              <w:t>$2,081</w:t>
            </w:r>
          </w:p>
        </w:tc>
        <w:tc>
          <w:tcPr>
            <w:tcW w:type="dxa" w:w="2351"/>
            <w:shd w:val="clear" w:color="auto" w:fill="EBF3FB"/>
          </w:tcPr>
          <w:p>
            <w:r>
              <w:rPr>
                <w:sz w:val="20"/>
              </w:rPr>
              <w:t>32</w:t>
            </w:r>
          </w:p>
        </w:tc>
        <w:tc>
          <w:tcPr>
            <w:tcW w:type="dxa" w:w="2351"/>
            <w:shd w:val="clear" w:color="auto" w:fill="EBF3FB"/>
          </w:tcPr>
          <w:p>
            <w:r>
              <w:rPr>
                <w:sz w:val="20"/>
              </w:rPr>
              <w:t>$299</w:t>
            </w:r>
          </w:p>
        </w:tc>
      </w:tr>
    </w:tbl>
    <w:p/>
    <w:p>
      <w:pPr>
        <w:jc w:val="center"/>
      </w:pPr>
      <w:r>
        <w:drawing>
          <wp:inline xmlns:a="http://schemas.openxmlformats.org/drawingml/2006/main" xmlns:pic="http://schemas.openxmlformats.org/drawingml/2006/picture">
            <wp:extent cx="5303520" cy="2594113"/>
            <wp:docPr id="10" name="Picture 10"/>
            <wp:cNvGraphicFramePr>
              <a:graphicFrameLocks noChangeAspect="1"/>
            </wp:cNvGraphicFramePr>
            <a:graphic>
              <a:graphicData uri="http://schemas.openxmlformats.org/drawingml/2006/picture">
                <pic:pic>
                  <pic:nvPicPr>
                    <pic:cNvPr id="0" name="10_outstanding_debt_by_score.png"/>
                    <pic:cNvPicPr/>
                  </pic:nvPicPr>
                  <pic:blipFill>
                    <a:blip r:embed="rId18"/>
                    <a:stretch>
                      <a:fillRect/>
                    </a:stretch>
                  </pic:blipFill>
                  <pic:spPr>
                    <a:xfrm>
                      <a:off x="0" y="0"/>
                      <a:ext cx="5303520" cy="2594113"/>
                    </a:xfrm>
                    <a:prstGeom prst="rect"/>
                  </pic:spPr>
                </pic:pic>
              </a:graphicData>
            </a:graphic>
          </wp:inline>
        </w:drawing>
      </w:r>
    </w:p>
    <w:p>
      <w:pPr>
        <w:jc w:val="center"/>
      </w:pPr>
      <w:r>
        <w:rPr>
          <w:i/>
          <w:color w:val="555555"/>
          <w:sz w:val="18"/>
        </w:rPr>
        <w:t>Figure 10: Outstanding debt distribution by credit score</w:t>
      </w:r>
    </w:p>
    <w:p/>
    <w:p>
      <w:pPr>
        <w:pStyle w:val="Heading2"/>
      </w:pPr>
      <w:r>
        <w:rPr>
          <w:color w:val="1A3A5C"/>
        </w:rPr>
        <w:t>5.4 Monthly Balance Distribution</w:t>
      </w:r>
    </w:p>
    <w:p>
      <w:pPr>
        <w:jc w:val="center"/>
      </w:pPr>
      <w:r>
        <w:drawing>
          <wp:inline xmlns:a="http://schemas.openxmlformats.org/drawingml/2006/main" xmlns:pic="http://schemas.openxmlformats.org/drawingml/2006/picture">
            <wp:extent cx="5029200" cy="2463282"/>
            <wp:docPr id="11" name="Picture 11"/>
            <wp:cNvGraphicFramePr>
              <a:graphicFrameLocks noChangeAspect="1"/>
            </wp:cNvGraphicFramePr>
            <a:graphic>
              <a:graphicData uri="http://schemas.openxmlformats.org/drawingml/2006/picture">
                <pic:pic>
                  <pic:nvPicPr>
                    <pic:cNvPr id="0" name="11_monthly_balance_violin.png"/>
                    <pic:cNvPicPr/>
                  </pic:nvPicPr>
                  <pic:blipFill>
                    <a:blip r:embed="rId19"/>
                    <a:stretch>
                      <a:fillRect/>
                    </a:stretch>
                  </pic:blipFill>
                  <pic:spPr>
                    <a:xfrm>
                      <a:off x="0" y="0"/>
                      <a:ext cx="5029200" cy="2463282"/>
                    </a:xfrm>
                    <a:prstGeom prst="rect"/>
                  </pic:spPr>
                </pic:pic>
              </a:graphicData>
            </a:graphic>
          </wp:inline>
        </w:drawing>
      </w:r>
    </w:p>
    <w:p>
      <w:pPr>
        <w:jc w:val="center"/>
      </w:pPr>
      <w:r>
        <w:rPr>
          <w:i/>
          <w:color w:val="555555"/>
          <w:sz w:val="18"/>
        </w:rPr>
        <w:t>Figure 11: Monthly balance violin plot by credit score</w:t>
      </w:r>
    </w:p>
    <w:p>
      <w:r>
        <w:br w:type="page"/>
      </w:r>
    </w:p>
    <w:p>
      <w:pPr>
        <w:pStyle w:val="Heading1"/>
      </w:pPr>
      <w:r>
        <w:rPr>
          <w:color w:val="1A3A5C"/>
        </w:rPr>
        <w:t>6. Feature Engineering</w:t>
      </w:r>
    </w:p>
    <w:p>
      <w:r>
        <w:rPr>
          <w:b w:val="0"/>
          <w:sz w:val="22"/>
        </w:rPr>
        <w:t>Seven new features were engineered from existing financial data to better capture financial health ratios and credit behaviour: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20"/>
              </w:rPr>
              <w:t>Feature</w:t>
            </w:r>
          </w:p>
        </w:tc>
        <w:tc>
          <w:tcPr>
            <w:tcW w:type="dxa" w:w="3135"/>
            <w:shd w:val="clear" w:color="auto" w:fill="1A3A5C"/>
          </w:tcPr>
          <w:p>
            <w:r>
              <w:rPr>
                <w:b/>
                <w:color w:val="FFFFFF"/>
                <w:sz w:val="20"/>
              </w:rPr>
              <w:t>Formula</w:t>
            </w:r>
          </w:p>
        </w:tc>
        <w:tc>
          <w:tcPr>
            <w:tcW w:type="dxa" w:w="3135"/>
            <w:shd w:val="clear" w:color="auto" w:fill="1A3A5C"/>
          </w:tcPr>
          <w:p>
            <w:r>
              <w:rPr>
                <w:b/>
                <w:color w:val="FFFFFF"/>
                <w:sz w:val="20"/>
              </w:rPr>
              <w:t>Business Meaning</w:t>
            </w:r>
          </w:p>
        </w:tc>
      </w:tr>
      <w:tr>
        <w:tc>
          <w:tcPr>
            <w:tcW w:type="dxa" w:w="3135"/>
            <w:shd w:val="clear" w:color="auto" w:fill="EBF3FB"/>
          </w:tcPr>
          <w:p>
            <w:r>
              <w:rPr>
                <w:sz w:val="20"/>
              </w:rPr>
              <w:t>Debt_to_Income</w:t>
            </w:r>
          </w:p>
        </w:tc>
        <w:tc>
          <w:tcPr>
            <w:tcW w:type="dxa" w:w="3135"/>
            <w:shd w:val="clear" w:color="auto" w:fill="EBF3FB"/>
          </w:tcPr>
          <w:p>
            <w:r>
              <w:rPr>
                <w:sz w:val="20"/>
              </w:rPr>
              <w:t>Outstanding Debt / Annual Income</w:t>
            </w:r>
          </w:p>
        </w:tc>
        <w:tc>
          <w:tcPr>
            <w:tcW w:type="dxa" w:w="3135"/>
            <w:shd w:val="clear" w:color="auto" w:fill="EBF3FB"/>
          </w:tcPr>
          <w:p>
            <w:r>
              <w:rPr>
                <w:sz w:val="20"/>
              </w:rPr>
              <w:t>Debt burden relative to income</w:t>
            </w:r>
          </w:p>
        </w:tc>
      </w:tr>
      <w:tr>
        <w:tc>
          <w:tcPr>
            <w:tcW w:type="dxa" w:w="3135"/>
          </w:tcPr>
          <w:p>
            <w:r>
              <w:rPr>
                <w:sz w:val="20"/>
              </w:rPr>
              <w:t>EMI_to_Salary</w:t>
            </w:r>
          </w:p>
        </w:tc>
        <w:tc>
          <w:tcPr>
            <w:tcW w:type="dxa" w:w="3135"/>
          </w:tcPr>
          <w:p>
            <w:r>
              <w:rPr>
                <w:sz w:val="20"/>
              </w:rPr>
              <w:t>Total EMI / Monthly Salary</w:t>
            </w:r>
          </w:p>
        </w:tc>
        <w:tc>
          <w:tcPr>
            <w:tcW w:type="dxa" w:w="3135"/>
          </w:tcPr>
          <w:p>
            <w:r>
              <w:rPr>
                <w:sz w:val="20"/>
              </w:rPr>
              <w:t>Loan repayment burden</w:t>
            </w:r>
          </w:p>
        </w:tc>
      </w:tr>
      <w:tr>
        <w:tc>
          <w:tcPr>
            <w:tcW w:type="dxa" w:w="3135"/>
            <w:shd w:val="clear" w:color="auto" w:fill="EBF3FB"/>
          </w:tcPr>
          <w:p>
            <w:r>
              <w:rPr>
                <w:sz w:val="20"/>
              </w:rPr>
              <w:t>Savings_Rate</w:t>
            </w:r>
          </w:p>
        </w:tc>
        <w:tc>
          <w:tcPr>
            <w:tcW w:type="dxa" w:w="3135"/>
            <w:shd w:val="clear" w:color="auto" w:fill="EBF3FB"/>
          </w:tcPr>
          <w:p>
            <w:r>
              <w:rPr>
                <w:sz w:val="20"/>
              </w:rPr>
              <w:t>Amount Invested / Monthly Salary</w:t>
            </w:r>
          </w:p>
        </w:tc>
        <w:tc>
          <w:tcPr>
            <w:tcW w:type="dxa" w:w="3135"/>
            <w:shd w:val="clear" w:color="auto" w:fill="EBF3FB"/>
          </w:tcPr>
          <w:p>
            <w:r>
              <w:rPr>
                <w:sz w:val="20"/>
              </w:rPr>
              <w:t>Financial discipline proxy</w:t>
            </w:r>
          </w:p>
        </w:tc>
      </w:tr>
      <w:tr>
        <w:tc>
          <w:tcPr>
            <w:tcW w:type="dxa" w:w="3135"/>
          </w:tcPr>
          <w:p>
            <w:r>
              <w:rPr>
                <w:sz w:val="20"/>
              </w:rPr>
              <w:t>Balance_Buffer</w:t>
            </w:r>
          </w:p>
        </w:tc>
        <w:tc>
          <w:tcPr>
            <w:tcW w:type="dxa" w:w="3135"/>
          </w:tcPr>
          <w:p>
            <w:r>
              <w:rPr>
                <w:sz w:val="20"/>
              </w:rPr>
              <w:t>Monthly Balance / Monthly Salary</w:t>
            </w:r>
          </w:p>
        </w:tc>
        <w:tc>
          <w:tcPr>
            <w:tcW w:type="dxa" w:w="3135"/>
          </w:tcPr>
          <w:p>
            <w:r>
              <w:rPr>
                <w:sz w:val="20"/>
              </w:rPr>
              <w:t>Cash cushion relative to income</w:t>
            </w:r>
          </w:p>
        </w:tc>
      </w:tr>
      <w:tr>
        <w:tc>
          <w:tcPr>
            <w:tcW w:type="dxa" w:w="3135"/>
            <w:shd w:val="clear" w:color="auto" w:fill="EBF3FB"/>
          </w:tcPr>
          <w:p>
            <w:r>
              <w:rPr>
                <w:sz w:val="20"/>
              </w:rPr>
              <w:t>Cards_per_Account</w:t>
            </w:r>
          </w:p>
        </w:tc>
        <w:tc>
          <w:tcPr>
            <w:tcW w:type="dxa" w:w="3135"/>
            <w:shd w:val="clear" w:color="auto" w:fill="EBF3FB"/>
          </w:tcPr>
          <w:p>
            <w:r>
              <w:rPr>
                <w:sz w:val="20"/>
              </w:rPr>
              <w:t>Num Credit Cards / Num Bank Accounts</w:t>
            </w:r>
          </w:p>
        </w:tc>
        <w:tc>
          <w:tcPr>
            <w:tcW w:type="dxa" w:w="3135"/>
            <w:shd w:val="clear" w:color="auto" w:fill="EBF3FB"/>
          </w:tcPr>
          <w:p>
            <w:r>
              <w:rPr>
                <w:sz w:val="20"/>
              </w:rPr>
              <w:t>Credit card concentration</w:t>
            </w:r>
          </w:p>
        </w:tc>
      </w:tr>
      <w:tr>
        <w:tc>
          <w:tcPr>
            <w:tcW w:type="dxa" w:w="3135"/>
          </w:tcPr>
          <w:p>
            <w:r>
              <w:rPr>
                <w:sz w:val="20"/>
              </w:rPr>
              <w:t>Credit_History_Months</w:t>
            </w:r>
          </w:p>
        </w:tc>
        <w:tc>
          <w:tcPr>
            <w:tcW w:type="dxa" w:w="3135"/>
          </w:tcPr>
          <w:p>
            <w:r>
              <w:rPr>
                <w:sz w:val="20"/>
              </w:rPr>
              <w:t>Parsed from 'X Years and Y Months'</w:t>
            </w:r>
          </w:p>
        </w:tc>
        <w:tc>
          <w:tcPr>
            <w:tcW w:type="dxa" w:w="3135"/>
          </w:tcPr>
          <w:p>
            <w:r>
              <w:rPr>
                <w:sz w:val="20"/>
              </w:rPr>
              <w:t>Credit history length in months</w:t>
            </w:r>
          </w:p>
        </w:tc>
      </w:tr>
      <w:tr>
        <w:tc>
          <w:tcPr>
            <w:tcW w:type="dxa" w:w="3135"/>
            <w:shd w:val="clear" w:color="auto" w:fill="EBF3FB"/>
          </w:tcPr>
          <w:p>
            <w:r>
              <w:rPr>
                <w:sz w:val="20"/>
              </w:rPr>
              <w:t>Num_Loan_Types</w:t>
            </w:r>
          </w:p>
        </w:tc>
        <w:tc>
          <w:tcPr>
            <w:tcW w:type="dxa" w:w="3135"/>
            <w:shd w:val="clear" w:color="auto" w:fill="EBF3FB"/>
          </w:tcPr>
          <w:p>
            <w:r>
              <w:rPr>
                <w:sz w:val="20"/>
              </w:rPr>
              <w:t>Count of loans in Type_of_Loan string</w:t>
            </w:r>
          </w:p>
        </w:tc>
        <w:tc>
          <w:tcPr>
            <w:tcW w:type="dxa" w:w="3135"/>
            <w:shd w:val="clear" w:color="auto" w:fill="EBF3FB"/>
          </w:tcPr>
          <w:p>
            <w:r>
              <w:rPr>
                <w:sz w:val="20"/>
              </w:rPr>
              <w:t>Credit diversity</w:t>
            </w:r>
          </w:p>
        </w:tc>
      </w:tr>
    </w:tbl>
    <w:p/>
    <w:p>
      <w:pPr>
        <w:pStyle w:val="Heading2"/>
      </w:pPr>
      <w:r>
        <w:rPr>
          <w:color w:val="1A3A5C"/>
        </w:rPr>
        <w:t>Preprocessing Pipeline</w:t>
      </w:r>
    </w:p>
    <w:p>
      <w:r>
        <w:rPr>
          <w:b w:val="0"/>
          <w:sz w:val="22"/>
        </w:rPr>
        <w:t>The following steps were applied to prevent data leakage and ensure clean inputs:</w:t>
      </w:r>
    </w:p>
    <w:p>
      <w:pPr>
        <w:pStyle w:val="ListBullet"/>
      </w:pPr>
      <w:r>
        <w:t>1. Drop identifier columns: ID, Customer_ID, Name, SSN, Month</w:t>
      </w:r>
    </w:p>
    <w:p>
      <w:pPr>
        <w:pStyle w:val="ListBullet"/>
      </w:pPr>
      <w:r>
        <w:t>2. Strip special characters from noisy numeric fields</w:t>
      </w:r>
    </w:p>
    <w:p>
      <w:pPr>
        <w:pStyle w:val="ListBullet"/>
      </w:pPr>
      <w:r>
        <w:t>3. Parse Credit_History_Age text into numeric months</w:t>
      </w:r>
    </w:p>
    <w:p>
      <w:pPr>
        <w:pStyle w:val="ListBullet"/>
      </w:pPr>
      <w:r>
        <w:t>4. Count loan types from comma-separated Type_of_Loan string</w:t>
      </w:r>
    </w:p>
    <w:p>
      <w:pPr>
        <w:pStyle w:val="ListBullet"/>
      </w:pPr>
      <w:r>
        <w:t>5. Engineer 5 financial ratio features</w:t>
      </w:r>
    </w:p>
    <w:p>
      <w:pPr>
        <w:pStyle w:val="ListBullet"/>
      </w:pPr>
      <w:r>
        <w:t>6. Label-encode all categorical features (Occupation, Credit_Mix, Payment_Behaviour, Payment_of_Min_Amount)</w:t>
      </w:r>
    </w:p>
    <w:p>
      <w:pPr>
        <w:pStyle w:val="ListBullet"/>
      </w:pPr>
      <w:r>
        <w:t>7. Replace inf/-inf values with NaN, then impute with column median</w:t>
      </w:r>
    </w:p>
    <w:p>
      <w:pPr>
        <w:pStyle w:val="ListBullet"/>
      </w:pPr>
      <w:r>
        <w:t>8. StandardScaler applied to all features (fit only on train set — no leakage)</w:t>
      </w:r>
    </w:p>
    <w:p>
      <w:pPr>
        <w:pStyle w:val="ListBullet"/>
      </w:pPr>
      <w:r>
        <w:t>9. Final NaN/inf safety pass after scaling</w:t>
      </w:r>
    </w:p>
    <w:p>
      <w:pPr>
        <w:pStyle w:val="ListBullet"/>
      </w:pPr>
      <w:r>
        <w:t>10. Stratified 80/20 train/validation split</w:t>
      </w:r>
    </w:p>
    <w:p>
      <w:r>
        <w:br w:type="page"/>
      </w:r>
    </w:p>
    <w:p>
      <w:pPr>
        <w:pStyle w:val="Heading1"/>
      </w:pPr>
      <w:r>
        <w:rPr>
          <w:color w:val="1A3A5C"/>
        </w:rPr>
        <w:t>7. Model Training &amp; Evaluation</w:t>
      </w:r>
    </w:p>
    <w:p>
      <w:r>
        <w:rPr>
          <w:b w:val="0"/>
          <w:sz w:val="22"/>
        </w:rPr>
        <w:t>Three classification models were trained and evaluated on the 20,000-record validation set (stratified split). All models were assessed on Accuracy, Precision, Recall, F1-Score, ROC-AUC, and 5-fold cross-validated accuracy.</w:t>
      </w:r>
    </w:p>
    <w:p>
      <w:pPr>
        <w:pStyle w:val="Heading2"/>
      </w:pPr>
      <w:r>
        <w:rPr>
          <w:color w:val="1A3A5C"/>
        </w:rPr>
        <w:t>7.1 Performance Comparison</w:t>
      </w:r>
    </w:p>
    <w:p>
      <w:pPr>
        <w:jc w:val="center"/>
      </w:pPr>
      <w:r>
        <w:drawing>
          <wp:inline xmlns:a="http://schemas.openxmlformats.org/drawingml/2006/main" xmlns:pic="http://schemas.openxmlformats.org/drawingml/2006/picture">
            <wp:extent cx="5486400" cy="2484731"/>
            <wp:docPr id="12" name="Picture 12"/>
            <wp:cNvGraphicFramePr>
              <a:graphicFrameLocks noChangeAspect="1"/>
            </wp:cNvGraphicFramePr>
            <a:graphic>
              <a:graphicData uri="http://schemas.openxmlformats.org/drawingml/2006/picture">
                <pic:pic>
                  <pic:nvPicPr>
                    <pic:cNvPr id="0" name="12_model_comparison.png"/>
                    <pic:cNvPicPr/>
                  </pic:nvPicPr>
                  <pic:blipFill>
                    <a:blip r:embed="rId20"/>
                    <a:stretch>
                      <a:fillRect/>
                    </a:stretch>
                  </pic:blipFill>
                  <pic:spPr>
                    <a:xfrm>
                      <a:off x="0" y="0"/>
                      <a:ext cx="5486400" cy="2484731"/>
                    </a:xfrm>
                    <a:prstGeom prst="rect"/>
                  </pic:spPr>
                </pic:pic>
              </a:graphicData>
            </a:graphic>
          </wp:inline>
        </w:drawing>
      </w:r>
    </w:p>
    <w:p>
      <w:pPr>
        <w:jc w:val="center"/>
      </w:pPr>
      <w:r>
        <w:rPr>
          <w:i/>
          <w:color w:val="555555"/>
          <w:sz w:val="18"/>
        </w:rPr>
        <w:t>Figure 12: Model performance comparison across all metrics</w:t>
      </w:r>
    </w:p>
    <w:p/>
    <w:p>
      <w:pPr>
        <w:pStyle w:val="Heading2"/>
      </w:pPr>
      <w:r>
        <w:rPr>
          <w:color w:val="1A3A5C"/>
        </w:rPr>
        <w:t>7.2 Confusion Matrices</w:t>
      </w:r>
    </w:p>
    <w:p>
      <w:r>
        <w:rPr>
          <w:b w:val="0"/>
          <w:sz w:val="22"/>
        </w:rPr>
        <w:t>The confusion matrices reveal that all models perform best on the Standard class (majority class) and have more difficulty with Good (minority class). Random Forest shows the best balance across all three classes.</w:t>
      </w:r>
    </w:p>
    <w:p>
      <w:pPr>
        <w:jc w:val="center"/>
      </w:pPr>
      <w:r>
        <w:drawing>
          <wp:inline xmlns:a="http://schemas.openxmlformats.org/drawingml/2006/main" xmlns:pic="http://schemas.openxmlformats.org/drawingml/2006/picture">
            <wp:extent cx="5669280" cy="1542078"/>
            <wp:docPr id="13" name="Picture 13"/>
            <wp:cNvGraphicFramePr>
              <a:graphicFrameLocks noChangeAspect="1"/>
            </wp:cNvGraphicFramePr>
            <a:graphic>
              <a:graphicData uri="http://schemas.openxmlformats.org/drawingml/2006/picture">
                <pic:pic>
                  <pic:nvPicPr>
                    <pic:cNvPr id="0" name="13_confusion_matrices.png"/>
                    <pic:cNvPicPr/>
                  </pic:nvPicPr>
                  <pic:blipFill>
                    <a:blip r:embed="rId21"/>
                    <a:stretch>
                      <a:fillRect/>
                    </a:stretch>
                  </pic:blipFill>
                  <pic:spPr>
                    <a:xfrm>
                      <a:off x="0" y="0"/>
                      <a:ext cx="5669280" cy="1542078"/>
                    </a:xfrm>
                    <a:prstGeom prst="rect"/>
                  </pic:spPr>
                </pic:pic>
              </a:graphicData>
            </a:graphic>
          </wp:inline>
        </w:drawing>
      </w:r>
    </w:p>
    <w:p>
      <w:pPr>
        <w:jc w:val="center"/>
      </w:pPr>
      <w:r>
        <w:rPr>
          <w:i/>
          <w:color w:val="555555"/>
          <w:sz w:val="18"/>
        </w:rPr>
        <w:t>Figure 13: Confusion matrices for all three models</w:t>
      </w:r>
    </w:p>
    <w:p>
      <w:r>
        <w:br w:type="page"/>
      </w:r>
    </w:p>
    <w:p>
      <w:pPr>
        <w:pStyle w:val="Heading2"/>
      </w:pPr>
      <w:r>
        <w:rPr>
          <w:color w:val="1A3A5C"/>
        </w:rPr>
        <w:t>7.3 ROC Curves</w:t>
      </w:r>
    </w:p>
    <w:p>
      <w:r>
        <w:rPr>
          <w:b w:val="0"/>
          <w:sz w:val="22"/>
        </w:rPr>
        <w:t>ROC curves use one-vs-rest (OvR) strategy for multi-class evaluation. Random Forest achieves AUC &gt; 0.85 for all classes, demonstrating strong discriminative ability.</w:t>
      </w:r>
    </w:p>
    <w:p>
      <w:pPr>
        <w:jc w:val="center"/>
      </w:pPr>
      <w:r>
        <w:drawing>
          <wp:inline xmlns:a="http://schemas.openxmlformats.org/drawingml/2006/main" xmlns:pic="http://schemas.openxmlformats.org/drawingml/2006/picture">
            <wp:extent cx="5669280" cy="1528222"/>
            <wp:docPr id="14" name="Picture 14"/>
            <wp:cNvGraphicFramePr>
              <a:graphicFrameLocks noChangeAspect="1"/>
            </wp:cNvGraphicFramePr>
            <a:graphic>
              <a:graphicData uri="http://schemas.openxmlformats.org/drawingml/2006/picture">
                <pic:pic>
                  <pic:nvPicPr>
                    <pic:cNvPr id="0" name="14_roc_curves.png"/>
                    <pic:cNvPicPr/>
                  </pic:nvPicPr>
                  <pic:blipFill>
                    <a:blip r:embed="rId22"/>
                    <a:stretch>
                      <a:fillRect/>
                    </a:stretch>
                  </pic:blipFill>
                  <pic:spPr>
                    <a:xfrm>
                      <a:off x="0" y="0"/>
                      <a:ext cx="5669280" cy="1528222"/>
                    </a:xfrm>
                    <a:prstGeom prst="rect"/>
                  </pic:spPr>
                </pic:pic>
              </a:graphicData>
            </a:graphic>
          </wp:inline>
        </w:drawing>
      </w:r>
    </w:p>
    <w:p>
      <w:pPr>
        <w:jc w:val="center"/>
      </w:pPr>
      <w:r>
        <w:rPr>
          <w:i/>
          <w:color w:val="555555"/>
          <w:sz w:val="18"/>
        </w:rPr>
        <w:t>Figure 14: ROC curves (OvR) for all models</w:t>
      </w:r>
    </w:p>
    <w:p/>
    <w:p>
      <w:pPr>
        <w:pStyle w:val="Heading2"/>
      </w:pPr>
      <w:r>
        <w:rPr>
          <w:color w:val="1A3A5C"/>
        </w:rPr>
        <w:t>7.4 Feature Importance</w:t>
      </w:r>
    </w:p>
    <w:p>
      <w:r>
        <w:rPr>
          <w:b w:val="0"/>
          <w:sz w:val="22"/>
        </w:rPr>
        <w:t>Random Forest feature importance reveals the top predictors of creditworthiness. Financial stress indicators (Outstanding Debt, EMI ratio, Delayed Payments) and credit history are most informative.</w:t>
      </w:r>
    </w:p>
    <w:p>
      <w:pPr>
        <w:jc w:val="center"/>
      </w:pPr>
      <w:r>
        <w:drawing>
          <wp:inline xmlns:a="http://schemas.openxmlformats.org/drawingml/2006/main" xmlns:pic="http://schemas.openxmlformats.org/drawingml/2006/picture">
            <wp:extent cx="5303520" cy="4206860"/>
            <wp:docPr id="15" name="Picture 15"/>
            <wp:cNvGraphicFramePr>
              <a:graphicFrameLocks noChangeAspect="1"/>
            </wp:cNvGraphicFramePr>
            <a:graphic>
              <a:graphicData uri="http://schemas.openxmlformats.org/drawingml/2006/picture">
                <pic:pic>
                  <pic:nvPicPr>
                    <pic:cNvPr id="0" name="15_feature_importance.png"/>
                    <pic:cNvPicPr/>
                  </pic:nvPicPr>
                  <pic:blipFill>
                    <a:blip r:embed="rId23"/>
                    <a:stretch>
                      <a:fillRect/>
                    </a:stretch>
                  </pic:blipFill>
                  <pic:spPr>
                    <a:xfrm>
                      <a:off x="0" y="0"/>
                      <a:ext cx="5303520" cy="4206860"/>
                    </a:xfrm>
                    <a:prstGeom prst="rect"/>
                  </pic:spPr>
                </pic:pic>
              </a:graphicData>
            </a:graphic>
          </wp:inline>
        </w:drawing>
      </w:r>
    </w:p>
    <w:p>
      <w:pPr>
        <w:jc w:val="center"/>
      </w:pPr>
      <w:r>
        <w:rPr>
          <w:i/>
          <w:color w:val="555555"/>
          <w:sz w:val="18"/>
        </w:rPr>
        <w:t>Figure 15: Top 20 feature importances from Random Forest</w:t>
      </w:r>
    </w:p>
    <w:p>
      <w:r>
        <w:br w:type="page"/>
      </w:r>
    </w:p>
    <w:p>
      <w:pPr>
        <w:pStyle w:val="Heading1"/>
      </w:pPr>
      <w:r>
        <w:rPr>
          <w:color w:val="1A3A5C"/>
        </w:rPr>
        <w:t>8. Final Model &amp; Test Predictions</w:t>
      </w:r>
    </w:p>
    <w:p>
      <w:pPr>
        <w:pStyle w:val="Heading2"/>
      </w:pPr>
      <w:r>
        <w:rPr>
          <w:color w:val="1A3A5C"/>
        </w:rPr>
        <w:t>8.1 Best Model: Random Forest</w:t>
      </w:r>
    </w:p>
    <w:p>
      <w:r>
        <w:rPr>
          <w:b w:val="0"/>
          <w:sz w:val="22"/>
        </w:rPr>
        <w:t>Random Forest was selected as the best model based on highest F1-Score (0.7344) and ROC-AUC (0.8583). The model was retrained on the full 100,000-record training set before generating test predictions.</w:t>
      </w:r>
    </w:p>
    <w:tbl>
      <w:tblPr>
        <w:tblStyle w:val="TableGrid"/>
        <w:tblW w:type="auto" w:w="0"/>
        <w:tblLook w:firstColumn="1" w:firstRow="1" w:lastColumn="0" w:lastRow="0" w:noHBand="0" w:noVBand="1" w:val="04A0"/>
      </w:tblPr>
      <w:tblGrid>
        <w:gridCol w:w="4703"/>
        <w:gridCol w:w="4703"/>
      </w:tblGrid>
      <w:tr>
        <w:tc>
          <w:tcPr>
            <w:tcW w:type="dxa" w:w="4703"/>
            <w:shd w:val="clear" w:color="auto" w:fill="1A3A5C"/>
          </w:tcPr>
          <w:p>
            <w:r>
              <w:rPr>
                <w:b/>
                <w:color w:val="FFFFFF"/>
                <w:sz w:val="20"/>
              </w:rPr>
              <w:t>Parameter</w:t>
            </w:r>
          </w:p>
        </w:tc>
        <w:tc>
          <w:tcPr>
            <w:tcW w:type="dxa" w:w="4703"/>
            <w:shd w:val="clear" w:color="auto" w:fill="1A3A5C"/>
          </w:tcPr>
          <w:p>
            <w:r>
              <w:rPr>
                <w:b/>
                <w:color w:val="FFFFFF"/>
                <w:sz w:val="20"/>
              </w:rPr>
              <w:t>Value</w:t>
            </w:r>
          </w:p>
        </w:tc>
      </w:tr>
      <w:tr>
        <w:tc>
          <w:tcPr>
            <w:tcW w:type="dxa" w:w="4703"/>
            <w:shd w:val="clear" w:color="auto" w:fill="EBF3FB"/>
          </w:tcPr>
          <w:p>
            <w:r>
              <w:rPr>
                <w:sz w:val="20"/>
              </w:rPr>
              <w:t>Algorithm</w:t>
            </w:r>
          </w:p>
        </w:tc>
        <w:tc>
          <w:tcPr>
            <w:tcW w:type="dxa" w:w="4703"/>
            <w:shd w:val="clear" w:color="auto" w:fill="EBF3FB"/>
          </w:tcPr>
          <w:p>
            <w:r>
              <w:rPr>
                <w:sz w:val="20"/>
              </w:rPr>
              <w:t>Random Forest Classifier</w:t>
            </w:r>
          </w:p>
        </w:tc>
      </w:tr>
      <w:tr>
        <w:tc>
          <w:tcPr>
            <w:tcW w:type="dxa" w:w="4703"/>
          </w:tcPr>
          <w:p>
            <w:r>
              <w:rPr>
                <w:sz w:val="20"/>
              </w:rPr>
              <w:t>n_estimators</w:t>
            </w:r>
          </w:p>
        </w:tc>
        <w:tc>
          <w:tcPr>
            <w:tcW w:type="dxa" w:w="4703"/>
          </w:tcPr>
          <w:p>
            <w:r>
              <w:rPr>
                <w:sz w:val="20"/>
              </w:rPr>
              <w:t>200</w:t>
            </w:r>
          </w:p>
        </w:tc>
      </w:tr>
      <w:tr>
        <w:tc>
          <w:tcPr>
            <w:tcW w:type="dxa" w:w="4703"/>
            <w:shd w:val="clear" w:color="auto" w:fill="EBF3FB"/>
          </w:tcPr>
          <w:p>
            <w:r>
              <w:rPr>
                <w:sz w:val="20"/>
              </w:rPr>
              <w:t>max_depth</w:t>
            </w:r>
          </w:p>
        </w:tc>
        <w:tc>
          <w:tcPr>
            <w:tcW w:type="dxa" w:w="4703"/>
            <w:shd w:val="clear" w:color="auto" w:fill="EBF3FB"/>
          </w:tcPr>
          <w:p>
            <w:r>
              <w:rPr>
                <w:sz w:val="20"/>
              </w:rPr>
              <w:t>12</w:t>
            </w:r>
          </w:p>
        </w:tc>
      </w:tr>
      <w:tr>
        <w:tc>
          <w:tcPr>
            <w:tcW w:type="dxa" w:w="4703"/>
          </w:tcPr>
          <w:p>
            <w:r>
              <w:rPr>
                <w:sz w:val="20"/>
              </w:rPr>
              <w:t>random_state</w:t>
            </w:r>
          </w:p>
        </w:tc>
        <w:tc>
          <w:tcPr>
            <w:tcW w:type="dxa" w:w="4703"/>
          </w:tcPr>
          <w:p>
            <w:r>
              <w:rPr>
                <w:sz w:val="20"/>
              </w:rPr>
              <w:t>42</w:t>
            </w:r>
          </w:p>
        </w:tc>
      </w:tr>
      <w:tr>
        <w:tc>
          <w:tcPr>
            <w:tcW w:type="dxa" w:w="4703"/>
            <w:shd w:val="clear" w:color="auto" w:fill="EBF3FB"/>
          </w:tcPr>
          <w:p>
            <w:r>
              <w:rPr>
                <w:sz w:val="20"/>
              </w:rPr>
              <w:t>Accuracy</w:t>
            </w:r>
          </w:p>
        </w:tc>
        <w:tc>
          <w:tcPr>
            <w:tcW w:type="dxa" w:w="4703"/>
            <w:shd w:val="clear" w:color="auto" w:fill="EBF3FB"/>
          </w:tcPr>
          <w:p>
            <w:r>
              <w:rPr>
                <w:sz w:val="20"/>
              </w:rPr>
              <w:t>73.33%</w:t>
            </w:r>
          </w:p>
        </w:tc>
      </w:tr>
      <w:tr>
        <w:tc>
          <w:tcPr>
            <w:tcW w:type="dxa" w:w="4703"/>
          </w:tcPr>
          <w:p>
            <w:r>
              <w:rPr>
                <w:sz w:val="20"/>
              </w:rPr>
              <w:t>F1-Score</w:t>
            </w:r>
          </w:p>
        </w:tc>
        <w:tc>
          <w:tcPr>
            <w:tcW w:type="dxa" w:w="4703"/>
          </w:tcPr>
          <w:p>
            <w:r>
              <w:rPr>
                <w:sz w:val="20"/>
              </w:rPr>
              <w:t>73.44%</w:t>
            </w:r>
          </w:p>
        </w:tc>
      </w:tr>
      <w:tr>
        <w:tc>
          <w:tcPr>
            <w:tcW w:type="dxa" w:w="4703"/>
            <w:shd w:val="clear" w:color="auto" w:fill="EBF3FB"/>
          </w:tcPr>
          <w:p>
            <w:r>
              <w:rPr>
                <w:sz w:val="20"/>
              </w:rPr>
              <w:t>ROC-AUC</w:t>
            </w:r>
          </w:p>
        </w:tc>
        <w:tc>
          <w:tcPr>
            <w:tcW w:type="dxa" w:w="4703"/>
            <w:shd w:val="clear" w:color="auto" w:fill="EBF3FB"/>
          </w:tcPr>
          <w:p>
            <w:r>
              <w:rPr>
                <w:sz w:val="20"/>
              </w:rPr>
              <w:t>0.8583</w:t>
            </w:r>
          </w:p>
        </w:tc>
      </w:tr>
    </w:tbl>
    <w:p/>
    <w:p>
      <w:pPr>
        <w:pStyle w:val="Heading2"/>
      </w:pPr>
      <w:r>
        <w:rPr>
          <w:color w:val="1A3A5C"/>
        </w:rPr>
        <w:t>8.2 Test Prediction Distribution</w:t>
      </w:r>
    </w:p>
    <w:p>
      <w:r>
        <w:rPr>
          <w:b w:val="0"/>
          <w:sz w:val="22"/>
        </w:rPr>
        <w:t>Predictions were generated for all 50,000 test records, with per-class probabilities included for each customer.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20"/>
              </w:rPr>
              <w:t>Predicted Score</w:t>
            </w:r>
          </w:p>
        </w:tc>
        <w:tc>
          <w:tcPr>
            <w:tcW w:type="dxa" w:w="3135"/>
            <w:shd w:val="clear" w:color="auto" w:fill="1A3A5C"/>
          </w:tcPr>
          <w:p>
            <w:r>
              <w:rPr>
                <w:b/>
                <w:color w:val="FFFFFF"/>
                <w:sz w:val="20"/>
              </w:rPr>
              <w:t>Count</w:t>
            </w:r>
          </w:p>
        </w:tc>
        <w:tc>
          <w:tcPr>
            <w:tcW w:type="dxa" w:w="3135"/>
            <w:shd w:val="clear" w:color="auto" w:fill="1A3A5C"/>
          </w:tcPr>
          <w:p>
            <w:r>
              <w:rPr>
                <w:b/>
                <w:color w:val="FFFFFF"/>
                <w:sz w:val="20"/>
              </w:rPr>
              <w:t>Proportion</w:t>
            </w:r>
          </w:p>
        </w:tc>
      </w:tr>
      <w:tr>
        <w:tc>
          <w:tcPr>
            <w:tcW w:type="dxa" w:w="3135"/>
            <w:shd w:val="clear" w:color="auto" w:fill="EBF3FB"/>
          </w:tcPr>
          <w:p>
            <w:r>
              <w:rPr>
                <w:sz w:val="20"/>
              </w:rPr>
              <w:t>Standard</w:t>
            </w:r>
          </w:p>
        </w:tc>
        <w:tc>
          <w:tcPr>
            <w:tcW w:type="dxa" w:w="3135"/>
            <w:shd w:val="clear" w:color="auto" w:fill="EBF3FB"/>
          </w:tcPr>
          <w:p>
            <w:r>
              <w:rPr>
                <w:sz w:val="20"/>
              </w:rPr>
              <w:t>26,022</w:t>
            </w:r>
          </w:p>
        </w:tc>
        <w:tc>
          <w:tcPr>
            <w:tcW w:type="dxa" w:w="3135"/>
            <w:shd w:val="clear" w:color="auto" w:fill="EBF3FB"/>
          </w:tcPr>
          <w:p>
            <w:r>
              <w:rPr>
                <w:sz w:val="20"/>
              </w:rPr>
              <w:t>52.0%</w:t>
            </w:r>
          </w:p>
        </w:tc>
      </w:tr>
      <w:tr>
        <w:tc>
          <w:tcPr>
            <w:tcW w:type="dxa" w:w="3135"/>
          </w:tcPr>
          <w:p>
            <w:r>
              <w:rPr>
                <w:sz w:val="20"/>
              </w:rPr>
              <w:t>Poor</w:t>
            </w:r>
          </w:p>
        </w:tc>
        <w:tc>
          <w:tcPr>
            <w:tcW w:type="dxa" w:w="3135"/>
          </w:tcPr>
          <w:p>
            <w:r>
              <w:rPr>
                <w:sz w:val="20"/>
              </w:rPr>
              <w:t>13,534</w:t>
            </w:r>
          </w:p>
        </w:tc>
        <w:tc>
          <w:tcPr>
            <w:tcW w:type="dxa" w:w="3135"/>
          </w:tcPr>
          <w:p>
            <w:r>
              <w:rPr>
                <w:sz w:val="20"/>
              </w:rPr>
              <w:t>27.1%</w:t>
            </w:r>
          </w:p>
        </w:tc>
      </w:tr>
      <w:tr>
        <w:tc>
          <w:tcPr>
            <w:tcW w:type="dxa" w:w="3135"/>
            <w:shd w:val="clear" w:color="auto" w:fill="EBF3FB"/>
          </w:tcPr>
          <w:p>
            <w:r>
              <w:rPr>
                <w:sz w:val="20"/>
              </w:rPr>
              <w:t>Good</w:t>
            </w:r>
          </w:p>
        </w:tc>
        <w:tc>
          <w:tcPr>
            <w:tcW w:type="dxa" w:w="3135"/>
            <w:shd w:val="clear" w:color="auto" w:fill="EBF3FB"/>
          </w:tcPr>
          <w:p>
            <w:r>
              <w:rPr>
                <w:sz w:val="20"/>
              </w:rPr>
              <w:t>10,444</w:t>
            </w:r>
          </w:p>
        </w:tc>
        <w:tc>
          <w:tcPr>
            <w:tcW w:type="dxa" w:w="3135"/>
            <w:shd w:val="clear" w:color="auto" w:fill="EBF3FB"/>
          </w:tcPr>
          <w:p>
            <w:r>
              <w:rPr>
                <w:sz w:val="20"/>
              </w:rPr>
              <w:t>20.9%</w:t>
            </w:r>
          </w:p>
        </w:tc>
      </w:tr>
    </w:tbl>
    <w:p/>
    <w:p>
      <w:pPr>
        <w:jc w:val="center"/>
      </w:pPr>
      <w:r>
        <w:drawing>
          <wp:inline xmlns:a="http://schemas.openxmlformats.org/drawingml/2006/main" xmlns:pic="http://schemas.openxmlformats.org/drawingml/2006/picture">
            <wp:extent cx="4572000" cy="2806343"/>
            <wp:docPr id="16" name="Picture 16"/>
            <wp:cNvGraphicFramePr>
              <a:graphicFrameLocks noChangeAspect="1"/>
            </wp:cNvGraphicFramePr>
            <a:graphic>
              <a:graphicData uri="http://schemas.openxmlformats.org/drawingml/2006/picture">
                <pic:pic>
                  <pic:nvPicPr>
                    <pic:cNvPr id="0" name="16_test_predictions_distribution.png"/>
                    <pic:cNvPicPr/>
                  </pic:nvPicPr>
                  <pic:blipFill>
                    <a:blip r:embed="rId24"/>
                    <a:stretch>
                      <a:fillRect/>
                    </a:stretch>
                  </pic:blipFill>
                  <pic:spPr>
                    <a:xfrm>
                      <a:off x="0" y="0"/>
                      <a:ext cx="4572000" cy="2806343"/>
                    </a:xfrm>
                    <a:prstGeom prst="rect"/>
                  </pic:spPr>
                </pic:pic>
              </a:graphicData>
            </a:graphic>
          </wp:inline>
        </w:drawing>
      </w:r>
    </w:p>
    <w:p>
      <w:pPr>
        <w:jc w:val="center"/>
      </w:pPr>
      <w:r>
        <w:rPr>
          <w:i/>
          <w:color w:val="555555"/>
          <w:sz w:val="18"/>
        </w:rPr>
        <w:t>Figure 16: Predicted credit score distribution on test set</w:t>
      </w:r>
    </w:p>
    <w:p>
      <w:r>
        <w:br w:type="page"/>
      </w:r>
    </w:p>
    <w:p>
      <w:pPr>
        <w:pStyle w:val="Heading1"/>
      </w:pPr>
      <w:r>
        <w:rPr>
          <w:color w:val="1A3A5C"/>
        </w:rPr>
        <w:t>9. Key Insights &amp; Conclusions</w:t>
      </w:r>
    </w:p>
    <w:p>
      <w:r>
        <w:rPr>
          <w:b/>
          <w:sz w:val="22"/>
        </w:rPr>
        <w:t>• Outstanding Debt is the #1 predictor</w:t>
      </w:r>
    </w:p>
    <w:p>
      <w:r>
        <w:rPr>
          <w:b w:val="0"/>
          <w:sz w:val="22"/>
        </w:rPr>
        <w:t xml:space="preserve">  Good customers average $801 outstanding debt vs $2,081 for Poor — a 2.6x difference. Debt-to-Income ratio (engineered feature) is among the top 5 most important features.</w:t>
      </w:r>
    </w:p>
    <w:p/>
    <w:p>
      <w:r>
        <w:rPr>
          <w:b/>
          <w:sz w:val="22"/>
        </w:rPr>
        <w:t>• Credit History Age matters significantly</w:t>
      </w:r>
    </w:p>
    <w:p>
      <w:r>
        <w:rPr>
          <w:b w:val="0"/>
          <w:sz w:val="22"/>
        </w:rPr>
        <w:t xml:space="preserve">  Longer credit history strongly correlates with Good credit scores. Customers with 20+ years of credit history are overwhelmingly Good or Standard.</w:t>
      </w:r>
    </w:p>
    <w:p/>
    <w:p>
      <w:r>
        <w:rPr>
          <w:b/>
          <w:sz w:val="22"/>
        </w:rPr>
        <w:t>• Payment discipline is critical</w:t>
      </w:r>
    </w:p>
    <w:p>
      <w:r>
        <w:rPr>
          <w:b w:val="0"/>
          <w:sz w:val="22"/>
        </w:rPr>
        <w:t xml:space="preserve">  The number of delayed payments and days delayed are strong risk indicators. Good customers average 26 delayed payments vs 32 for Poor customers.</w:t>
      </w:r>
    </w:p>
    <w:p/>
    <w:p>
      <w:r>
        <w:rPr>
          <w:b/>
          <w:sz w:val="22"/>
        </w:rPr>
        <w:t>• Credit Mix quality is highly discriminative</w:t>
      </w:r>
    </w:p>
    <w:p>
      <w:r>
        <w:rPr>
          <w:b w:val="0"/>
          <w:sz w:val="22"/>
        </w:rPr>
        <w:t xml:space="preserve">  Customers with a 'Good' credit mix have ~60% probability of Good credit score. This is the most informative categorical feature.</w:t>
      </w:r>
    </w:p>
    <w:p/>
    <w:p>
      <w:r>
        <w:rPr>
          <w:b/>
          <w:sz w:val="22"/>
        </w:rPr>
        <w:t>• Income alone is not sufficient</w:t>
      </w:r>
    </w:p>
    <w:p>
      <w:r>
        <w:rPr>
          <w:b w:val="0"/>
          <w:sz w:val="22"/>
        </w:rPr>
        <w:t xml:space="preserve">  Annual income distributions overlap significantly between classes. High income does not guarantee Good credit — debt management is more important.</w:t>
      </w:r>
    </w:p>
    <w:p/>
    <w:p>
      <w:r>
        <w:rPr>
          <w:b/>
          <w:sz w:val="22"/>
        </w:rPr>
        <w:t>• Engineered features add significant value</w:t>
      </w:r>
    </w:p>
    <w:p>
      <w:r>
        <w:rPr>
          <w:b w:val="0"/>
          <w:sz w:val="22"/>
        </w:rPr>
        <w:t xml:space="preserve">  EMI-to-Salary ratio and Debt-to-Income ratio are among the top 10 most important features, validating the feature engineering step.</w:t>
      </w:r>
    </w:p>
    <w:p/>
    <w:p>
      <w:r>
        <w:rPr>
          <w:b/>
          <w:sz w:val="22"/>
        </w:rPr>
        <w:t>• Data quality issues are prevalent</w:t>
      </w:r>
    </w:p>
    <w:p>
      <w:r>
        <w:rPr>
          <w:b w:val="0"/>
          <w:sz w:val="22"/>
        </w:rPr>
        <w:t xml:space="preserve">  The raw dataset contains significant noise: negative ages, special characters, out-of-range values (e.g., Interest Rate = 5797), and inconsistent formats. Robust preprocessing is essential.</w:t>
      </w:r>
    </w:p>
    <w:p/>
    <w:p>
      <w:r>
        <w:br w:type="page"/>
      </w:r>
    </w:p>
    <w:p>
      <w:pPr>
        <w:pStyle w:val="Heading1"/>
      </w:pPr>
      <w:r>
        <w:rPr>
          <w:color w:val="1A3A5C"/>
        </w:rPr>
        <w:t>10. Project Deliverables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A5C"/>
          </w:tcPr>
          <w:p>
            <w:r>
              <w:rPr>
                <w:b/>
                <w:color w:val="FFFFFF"/>
                <w:sz w:val="20"/>
              </w:rPr>
              <w:t>File</w:t>
            </w:r>
          </w:p>
        </w:tc>
        <w:tc>
          <w:tcPr>
            <w:tcW w:type="dxa" w:w="3135"/>
            <w:shd w:val="clear" w:color="auto" w:fill="1A3A5C"/>
          </w:tcPr>
          <w:p>
            <w:r>
              <w:rPr>
                <w:b/>
                <w:color w:val="FFFFFF"/>
                <w:sz w:val="20"/>
              </w:rPr>
              <w:t>Location</w:t>
            </w:r>
          </w:p>
        </w:tc>
        <w:tc>
          <w:tcPr>
            <w:tcW w:type="dxa" w:w="3135"/>
            <w:shd w:val="clear" w:color="auto" w:fill="1A3A5C"/>
          </w:tcPr>
          <w:p>
            <w:r>
              <w:rPr>
                <w:b/>
                <w:color w:val="FFFFFF"/>
                <w:sz w:val="20"/>
              </w:rPr>
              <w:t>Description</w:t>
            </w:r>
          </w:p>
        </w:tc>
      </w:tr>
      <w:tr>
        <w:tc>
          <w:tcPr>
            <w:tcW w:type="dxa" w:w="3135"/>
            <w:shd w:val="clear" w:color="auto" w:fill="EBF3FB"/>
          </w:tcPr>
          <w:p>
            <w:r>
              <w:rPr>
                <w:sz w:val="20"/>
              </w:rPr>
              <w:t>analysis.py</w:t>
            </w:r>
          </w:p>
        </w:tc>
        <w:tc>
          <w:tcPr>
            <w:tcW w:type="dxa" w:w="3135"/>
            <w:shd w:val="clear" w:color="auto" w:fill="EBF3FB"/>
          </w:tcPr>
          <w:p>
            <w:r>
              <w:rPr>
                <w:sz w:val="20"/>
              </w:rPr>
              <w:t>scripts/</w:t>
            </w:r>
          </w:p>
        </w:tc>
        <w:tc>
          <w:tcPr>
            <w:tcW w:type="dxa" w:w="3135"/>
            <w:shd w:val="clear" w:color="auto" w:fill="EBF3FB"/>
          </w:tcPr>
          <w:p>
            <w:r>
              <w:rPr>
                <w:sz w:val="20"/>
              </w:rPr>
              <w:t>Full EDA script</w:t>
            </w:r>
          </w:p>
        </w:tc>
      </w:tr>
      <w:tr>
        <w:tc>
          <w:tcPr>
            <w:tcW w:type="dxa" w:w="3135"/>
          </w:tcPr>
          <w:p>
            <w:r>
              <w:rPr>
                <w:sz w:val="20"/>
              </w:rPr>
              <w:t>model.py</w:t>
            </w:r>
          </w:p>
        </w:tc>
        <w:tc>
          <w:tcPr>
            <w:tcW w:type="dxa" w:w="3135"/>
          </w:tcPr>
          <w:p>
            <w:r>
              <w:rPr>
                <w:sz w:val="20"/>
              </w:rPr>
              <w:t>scripts/</w:t>
            </w:r>
          </w:p>
        </w:tc>
        <w:tc>
          <w:tcPr>
            <w:tcW w:type="dxa" w:w="3135"/>
          </w:tcPr>
          <w:p>
            <w:r>
              <w:rPr>
                <w:sz w:val="20"/>
              </w:rPr>
              <w:t>Feature engineering + ML training</w:t>
            </w:r>
          </w:p>
        </w:tc>
      </w:tr>
      <w:tr>
        <w:tc>
          <w:tcPr>
            <w:tcW w:type="dxa" w:w="3135"/>
            <w:shd w:val="clear" w:color="auto" w:fill="EBF3FB"/>
          </w:tcPr>
          <w:p>
            <w:r>
              <w:rPr>
                <w:sz w:val="20"/>
              </w:rPr>
              <w:t>credit_scoring_analysis.ipynb</w:t>
            </w:r>
          </w:p>
        </w:tc>
        <w:tc>
          <w:tcPr>
            <w:tcW w:type="dxa" w:w="3135"/>
            <w:shd w:val="clear" w:color="auto" w:fill="EBF3FB"/>
          </w:tcPr>
          <w:p>
            <w:r>
              <w:rPr>
                <w:sz w:val="20"/>
              </w:rPr>
              <w:t>notebooks/</w:t>
            </w:r>
          </w:p>
        </w:tc>
        <w:tc>
          <w:tcPr>
            <w:tcW w:type="dxa" w:w="3135"/>
            <w:shd w:val="clear" w:color="auto" w:fill="EBF3FB"/>
          </w:tcPr>
          <w:p>
            <w:r>
              <w:rPr>
                <w:sz w:val="20"/>
              </w:rPr>
              <w:t>Complete Jupyter notebook</w:t>
            </w:r>
          </w:p>
        </w:tc>
      </w:tr>
      <w:tr>
        <w:tc>
          <w:tcPr>
            <w:tcW w:type="dxa" w:w="3135"/>
          </w:tcPr>
          <w:p>
            <w:r>
              <w:rPr>
                <w:sz w:val="20"/>
              </w:rPr>
              <w:t>train.csv</w:t>
            </w:r>
          </w:p>
        </w:tc>
        <w:tc>
          <w:tcPr>
            <w:tcW w:type="dxa" w:w="3135"/>
          </w:tcPr>
          <w:p>
            <w:r>
              <w:rPr>
                <w:sz w:val="20"/>
              </w:rPr>
              <w:t>data/</w:t>
            </w:r>
          </w:p>
        </w:tc>
        <w:tc>
          <w:tcPr>
            <w:tcW w:type="dxa" w:w="3135"/>
          </w:tcPr>
          <w:p>
            <w:r>
              <w:rPr>
                <w:sz w:val="20"/>
              </w:rPr>
              <w:t>Training dataset (100K records)</w:t>
            </w:r>
          </w:p>
        </w:tc>
      </w:tr>
      <w:tr>
        <w:tc>
          <w:tcPr>
            <w:tcW w:type="dxa" w:w="3135"/>
            <w:shd w:val="clear" w:color="auto" w:fill="EBF3FB"/>
          </w:tcPr>
          <w:p>
            <w:r>
              <w:rPr>
                <w:sz w:val="20"/>
              </w:rPr>
              <w:t>test.csv</w:t>
            </w:r>
          </w:p>
        </w:tc>
        <w:tc>
          <w:tcPr>
            <w:tcW w:type="dxa" w:w="3135"/>
            <w:shd w:val="clear" w:color="auto" w:fill="EBF3FB"/>
          </w:tcPr>
          <w:p>
            <w:r>
              <w:rPr>
                <w:sz w:val="20"/>
              </w:rPr>
              <w:t>data/</w:t>
            </w:r>
          </w:p>
        </w:tc>
        <w:tc>
          <w:tcPr>
            <w:tcW w:type="dxa" w:w="3135"/>
            <w:shd w:val="clear" w:color="auto" w:fill="EBF3FB"/>
          </w:tcPr>
          <w:p>
            <w:r>
              <w:rPr>
                <w:sz w:val="20"/>
              </w:rPr>
              <w:t>Test dataset (50K records)</w:t>
            </w:r>
          </w:p>
        </w:tc>
      </w:tr>
      <w:tr>
        <w:tc>
          <w:tcPr>
            <w:tcW w:type="dxa" w:w="3135"/>
          </w:tcPr>
          <w:p>
            <w:r>
              <w:rPr>
                <w:sz w:val="20"/>
              </w:rPr>
              <w:t>test_predictions.csv</w:t>
            </w:r>
          </w:p>
        </w:tc>
        <w:tc>
          <w:tcPr>
            <w:tcW w:type="dxa" w:w="3135"/>
          </w:tcPr>
          <w:p>
            <w:r>
              <w:rPr>
                <w:sz w:val="20"/>
              </w:rPr>
              <w:t>outputs/predictions/</w:t>
            </w:r>
          </w:p>
        </w:tc>
        <w:tc>
          <w:tcPr>
            <w:tcW w:type="dxa" w:w="3135"/>
          </w:tcPr>
          <w:p>
            <w:r>
              <w:rPr>
                <w:sz w:val="20"/>
              </w:rPr>
              <w:t>50,000 test predictions with probabilities</w:t>
            </w:r>
          </w:p>
        </w:tc>
      </w:tr>
      <w:tr>
        <w:tc>
          <w:tcPr>
            <w:tcW w:type="dxa" w:w="3135"/>
            <w:shd w:val="clear" w:color="auto" w:fill="EBF3FB"/>
          </w:tcPr>
          <w:p>
            <w:r>
              <w:rPr>
                <w:sz w:val="20"/>
              </w:rPr>
              <w:t>model_comparison.csv</w:t>
            </w:r>
          </w:p>
        </w:tc>
        <w:tc>
          <w:tcPr>
            <w:tcW w:type="dxa" w:w="3135"/>
            <w:shd w:val="clear" w:color="auto" w:fill="EBF3FB"/>
          </w:tcPr>
          <w:p>
            <w:r>
              <w:rPr>
                <w:sz w:val="20"/>
              </w:rPr>
              <w:t>outputs/predictions/</w:t>
            </w:r>
          </w:p>
        </w:tc>
        <w:tc>
          <w:tcPr>
            <w:tcW w:type="dxa" w:w="3135"/>
            <w:shd w:val="clear" w:color="auto" w:fill="EBF3FB"/>
          </w:tcPr>
          <w:p>
            <w:r>
              <w:rPr>
                <w:sz w:val="20"/>
              </w:rPr>
              <w:t>Model metrics comparison table</w:t>
            </w:r>
          </w:p>
        </w:tc>
      </w:tr>
      <w:tr>
        <w:tc>
          <w:tcPr>
            <w:tcW w:type="dxa" w:w="3135"/>
          </w:tcPr>
          <w:p>
            <w:r>
              <w:rPr>
                <w:sz w:val="20"/>
              </w:rPr>
              <w:t>best_model.pkl</w:t>
            </w:r>
          </w:p>
        </w:tc>
        <w:tc>
          <w:tcPr>
            <w:tcW w:type="dxa" w:w="3135"/>
          </w:tcPr>
          <w:p>
            <w:r>
              <w:rPr>
                <w:sz w:val="20"/>
              </w:rPr>
              <w:t>outputs/models/</w:t>
            </w:r>
          </w:p>
        </w:tc>
        <w:tc>
          <w:tcPr>
            <w:tcW w:type="dxa" w:w="3135"/>
          </w:tcPr>
          <w:p>
            <w:r>
              <w:rPr>
                <w:sz w:val="20"/>
              </w:rPr>
              <w:t>Saved Random Forest model</w:t>
            </w:r>
          </w:p>
        </w:tc>
      </w:tr>
      <w:tr>
        <w:tc>
          <w:tcPr>
            <w:tcW w:type="dxa" w:w="3135"/>
            <w:shd w:val="clear" w:color="auto" w:fill="EBF3FB"/>
          </w:tcPr>
          <w:p>
            <w:r>
              <w:rPr>
                <w:sz w:val="20"/>
              </w:rPr>
              <w:t>model_metadata.json</w:t>
            </w:r>
          </w:p>
        </w:tc>
        <w:tc>
          <w:tcPr>
            <w:tcW w:type="dxa" w:w="3135"/>
            <w:shd w:val="clear" w:color="auto" w:fill="EBF3FB"/>
          </w:tcPr>
          <w:p>
            <w:r>
              <w:rPr>
                <w:sz w:val="20"/>
              </w:rPr>
              <w:t>outputs/models/</w:t>
            </w:r>
          </w:p>
        </w:tc>
        <w:tc>
          <w:tcPr>
            <w:tcW w:type="dxa" w:w="3135"/>
            <w:shd w:val="clear" w:color="auto" w:fill="EBF3FB"/>
          </w:tcPr>
          <w:p>
            <w:r>
              <w:rPr>
                <w:sz w:val="20"/>
              </w:rPr>
              <w:t>Model configuration and metrics</w:t>
            </w:r>
          </w:p>
        </w:tc>
      </w:tr>
      <w:tr>
        <w:tc>
          <w:tcPr>
            <w:tcW w:type="dxa" w:w="3135"/>
          </w:tcPr>
          <w:p>
            <w:r>
              <w:rPr>
                <w:sz w:val="20"/>
              </w:rPr>
              <w:t>Figures 01-16</w:t>
            </w:r>
          </w:p>
        </w:tc>
        <w:tc>
          <w:tcPr>
            <w:tcW w:type="dxa" w:w="3135"/>
          </w:tcPr>
          <w:p>
            <w:r>
              <w:rPr>
                <w:sz w:val="20"/>
              </w:rPr>
              <w:t>outputs/figures/</w:t>
            </w:r>
          </w:p>
        </w:tc>
        <w:tc>
          <w:tcPr>
            <w:tcW w:type="dxa" w:w="3135"/>
          </w:tcPr>
          <w:p>
            <w:r>
              <w:rPr>
                <w:sz w:val="20"/>
              </w:rPr>
              <w:t>16 visualisation charts</w:t>
            </w:r>
          </w:p>
        </w:tc>
      </w:tr>
      <w:tr>
        <w:tc>
          <w:tcPr>
            <w:tcW w:type="dxa" w:w="3135"/>
            <w:shd w:val="clear" w:color="auto" w:fill="EBF3FB"/>
          </w:tcPr>
          <w:p>
            <w:r>
              <w:rPr>
                <w:sz w:val="20"/>
              </w:rPr>
              <w:t>credit_scoring_report.docx</w:t>
            </w:r>
          </w:p>
        </w:tc>
        <w:tc>
          <w:tcPr>
            <w:tcW w:type="dxa" w:w="3135"/>
            <w:shd w:val="clear" w:color="auto" w:fill="EBF3FB"/>
          </w:tcPr>
          <w:p>
            <w:r>
              <w:rPr>
                <w:sz w:val="20"/>
              </w:rPr>
              <w:t>reports/</w:t>
            </w:r>
          </w:p>
        </w:tc>
        <w:tc>
          <w:tcPr>
            <w:tcW w:type="dxa" w:w="3135"/>
            <w:shd w:val="clear" w:color="auto" w:fill="EBF3FB"/>
          </w:tcPr>
          <w:p>
            <w:r>
              <w:rPr>
                <w:sz w:val="20"/>
              </w:rPr>
              <w:t>This Word report</w:t>
            </w:r>
          </w:p>
        </w:tc>
      </w:tr>
      <w:tr>
        <w:tc>
          <w:tcPr>
            <w:tcW w:type="dxa" w:w="3135"/>
          </w:tcPr>
          <w:p>
            <w:r>
              <w:rPr>
                <w:sz w:val="20"/>
              </w:rPr>
              <w:t>README.md</w:t>
            </w:r>
          </w:p>
        </w:tc>
        <w:tc>
          <w:tcPr>
            <w:tcW w:type="dxa" w:w="3135"/>
          </w:tcPr>
          <w:p>
            <w:r>
              <w:rPr>
                <w:sz w:val="20"/>
              </w:rPr>
              <w:t>./</w:t>
            </w:r>
          </w:p>
        </w:tc>
        <w:tc>
          <w:tcPr>
            <w:tcW w:type="dxa" w:w="3135"/>
          </w:tcPr>
          <w:p>
            <w:r>
              <w:rPr>
                <w:sz w:val="20"/>
              </w:rPr>
              <w:t>Project documentation</w:t>
            </w:r>
          </w:p>
        </w:tc>
      </w:tr>
      <w:tr>
        <w:tc>
          <w:tcPr>
            <w:tcW w:type="dxa" w:w="3135"/>
            <w:shd w:val="clear" w:color="auto" w:fill="EBF3FB"/>
          </w:tcPr>
          <w:p>
            <w:r>
              <w:rPr>
                <w:sz w:val="20"/>
              </w:rPr>
              <w:t>requirements.txt</w:t>
            </w:r>
          </w:p>
        </w:tc>
        <w:tc>
          <w:tcPr>
            <w:tcW w:type="dxa" w:w="3135"/>
            <w:shd w:val="clear" w:color="auto" w:fill="EBF3FB"/>
          </w:tcPr>
          <w:p>
            <w:r>
              <w:rPr>
                <w:sz w:val="20"/>
              </w:rPr>
              <w:t>./</w:t>
            </w:r>
          </w:p>
        </w:tc>
        <w:tc>
          <w:tcPr>
            <w:tcW w:type="dxa" w:w="3135"/>
            <w:shd w:val="clear" w:color="auto" w:fill="EBF3FB"/>
          </w:tcPr>
          <w:p>
            <w:r>
              <w:rPr>
                <w:sz w:val="20"/>
              </w:rPr>
              <w:t>Python dependencies</w:t>
            </w:r>
          </w:p>
        </w:tc>
      </w:tr>
    </w:tbl>
    <w:p/>
    <w:p>
      <w:pPr>
        <w:pStyle w:val="Heading2"/>
      </w:pPr>
      <w:r>
        <w:rPr>
          <w:color w:val="1A3A5C"/>
        </w:rPr>
        <w:t>Project Structure</w:t>
      </w:r>
    </w:p>
    <w:p>
      <w:pPr>
        <w:pStyle w:val="NoSpacing"/>
      </w:pPr>
      <w:r>
        <w:rPr>
          <w:rFonts w:ascii="Courier New" w:hAnsi="Courier New"/>
          <w:sz w:val="18"/>
        </w:rPr>
        <w:t>Credit Scoring Model/</w:t>
        <w:br/>
        <w:t>├── data/</w:t>
        <w:br/>
        <w:t>│   ├── train.csv</w:t>
        <w:br/>
        <w:t>│   └── test.csv</w:t>
        <w:br/>
        <w:t>├── notebooks/</w:t>
        <w:br/>
        <w:t>│   └── credit_scoring_analysis.ipynb</w:t>
        <w:br/>
        <w:t>├── scripts/</w:t>
        <w:br/>
        <w:t>│   ├── analysis.py</w:t>
        <w:br/>
        <w:t>│   └── model.py</w:t>
        <w:br/>
        <w:t>├── outputs/</w:t>
        <w:br/>
        <w:t>│   ├── figures/          (16 charts)</w:t>
        <w:br/>
        <w:t>│   ├── models/           (best_model.pkl, model_metadata.json)</w:t>
        <w:br/>
        <w:t>│   └── predictions/      (test_predictions.csv, model_comparison.csv)</w:t>
        <w:br/>
        <w:t>├── reports/</w:t>
        <w:br/>
        <w:t>│   └── credit_scoring_report.docx</w:t>
        <w:br/>
        <w:t>├── README.md</w:t>
        <w:br/>
        <w:t>└── requirements.txt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