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Carotis-AI: Ein Local-First KI-System für die Carotis-Stenose-Diagnostik</w:t>
      </w:r>
    </w:p>
    <w:p>
      <w:pPr>
        <w:jc w:val="center"/>
      </w:pPr>
      <w:r>
        <w:rPr>
          <w:i/>
          <w:iCs/>
          <w:sz w:val="22"/>
          <w:szCs w:val="22"/>
        </w:rPr>
        <w:t xml:space="preserve">Konzeptpapier für Prof. Dr. med. Stefan Rohde</w:t>
      </w:r>
    </w:p>
    <w:p>
      <w:pPr>
        <w:jc w:val="center"/>
      </w:pPr>
      <w:r>
        <w:rPr>
          <w:sz w:val="20"/>
          <w:szCs w:val="20"/>
        </w:rPr>
        <w:t xml:space="preserve">Dr. Aroob Alrawashdeh</w:t>
      </w:r>
      <w:r>
        <w:rPr>
          <w:sz w:val="18"/>
          <w:szCs w:val="18"/>
        </w:rPr>
        <w:t xml:space="preserve">
Ärztin in Weiterbildung für Radiologie</w:t>
      </w:r>
      <w:r>
        <w:rPr>
          <w:sz w:val="18"/>
          <w:szCs w:val="18"/>
        </w:rPr>
        <w:t xml:space="preserve">
Klinikum Dortmund</w:t>
      </w:r>
      <w:r>
        <w:rPr>
          <w:sz w:val="18"/>
          <w:szCs w:val="18"/>
        </w:rPr>
        <w:t xml:space="preserve">
27. April 2026</w:t>
      </w:r>
    </w:p>
    <w:p>
      <w:pPr>
        <w:pStyle w:val="Heading1"/>
      </w:pPr>
      <w:r>
        <w:t xml:space="preserve">Inhaltsverzeichnis</w:t>
      </w:r>
    </w:p>
    <w:p>
      <w:hyperlink w:history="1" w:anchor="section1">
        <w:r>
          <w:rPr>
            <w:rStyle w:val="Hyperlink"/>
          </w:rPr>
          <w:t xml:space="preserve">1. Problembeschreibung</w:t>
        </w:r>
      </w:hyperlink>
    </w:p>
    <w:p>
      <w:hyperlink w:history="1" w:anchor="section2">
        <w:r>
          <w:rPr>
            <w:rStyle w:val="Hyperlink"/>
          </w:rPr>
          <w:t xml:space="preserve">2. Das Carotis-AI Konzept</w:t>
        </w:r>
      </w:hyperlink>
    </w:p>
    <w:p>
      <w:hyperlink w:history="1" w:anchor="section3">
        <w:r>
          <w:rPr>
            <w:rStyle w:val="Hyperlink"/>
          </w:rPr>
          <w:t xml:space="preserve">3. Vergleich: Floy vs. Carotis-AI</w:t>
        </w:r>
      </w:hyperlink>
    </w:p>
    <w:p>
      <w:hyperlink w:history="1" w:anchor="section4">
        <w:r>
          <w:rPr>
            <w:rStyle w:val="Hyperlink"/>
          </w:rPr>
          <w:t xml:space="preserve">4. Engineering Harnessing Methode</w:t>
        </w:r>
      </w:hyperlink>
    </w:p>
    <w:p>
      <w:hyperlink w:history="1" w:anchor="section5">
        <w:r>
          <w:rPr>
            <w:rStyle w:val="Hyperlink"/>
          </w:rPr>
          <w:t xml:space="preserve">5. Nutzen für das Klinikum Dortmund</w:t>
        </w:r>
      </w:hyperlink>
    </w:p>
    <w:p>
      <w:hyperlink w:history="1" w:anchor="references">
        <w:r>
          <w:rPr>
            <w:rStyle w:val="Hyperlink"/>
          </w:rPr>
          <w:t xml:space="preserve">6. Referenzen</w:t>
        </w:r>
      </w:hyperlink>
    </w:p>
    <w:p>
      <w:pPr>
        <w:pStyle w:val="Heading1"/>
      </w:pPr>
      <w:bookmarkStart w:name="section1" w:id="1"/>
      <w:r>
        <w:t xml:space="preserve">1. Problembeschreibung</w:t>
      </w:r>
      <w:bookmarkEnd w:id="1"/>
    </w:p>
    <w:p>
      <w:r>
        <w:t xml:space="preserve">Die Carotis-Sonographie ist ein etabliertes Verfahren zur Diagnostik von Carotis-Stenosen, jedoch bestehen erhebliche Herausforderungen in der klinischen Praxis, die eine innovative KI-Lösung erforderlich machen.</w:t>
      </w:r>
    </w:p>
    <w:p>
      <w:pPr>
        <w:pStyle w:val="Heading2"/>
      </w:pPr>
      <w:r>
        <w:t xml:space="preserve">1.1 Inter-Observer-Variabilität</w:t>
      </w:r>
    </w:p>
    <w:p>
      <w:r>
        <w:t xml:space="preserve">Studien zeigen eine signifikante Inter-Observer-Variabilität bei der Carotis-Sonographie von 15-30% </w:t>
      </w:r>
      <w:hyperlink w:history="1" w:anchor="ref1">
        <w:r>
          <w:rPr>
            <w:rStyle w:val="Hyperlink"/>
          </w:rPr>
          <w:t xml:space="preserve">[1]</w:t>
        </w:r>
      </w:hyperlink>
      <w:r>
        <w:t xml:space="preserve">. Diese Variabilität entsteht durch unterschiedliche Untersuchertechniken, verschiedene Platzierungen des Doppler-Messfensters und den Einsatz unterschiedlicher Ultraschallgeräte. Die moderate Inter-Observer-Reliabilität (ICC = 0.68) bei der Intima-Media-Dicken-Messung verdeutlicht die Notwendigkeit standardisierter, KI-gestützter Ansätze </w:t>
      </w:r>
      <w:hyperlink w:history="1" w:anchor="ref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Heading2"/>
      </w:pPr>
      <w:r>
        <w:t xml:space="preserve">1.2 Limitationen der NASCET-Stenosegrad-Messung</w:t>
      </w:r>
    </w:p>
    <w:p>
      <w:r>
        <w:t xml:space="preserve">Die etablierten NASCET-Kriterien fokussieren primär auf die Stenosegraduierung durch Messung der intrastenotischen systolischen Spitzengeschwindigkeit </w:t>
      </w:r>
      <w:hyperlink w:history="1" w:anchor="ref3">
        <w:r>
          <w:rPr>
            <w:rStyle w:val="Hyperlink"/>
          </w:rPr>
          <w:t xml:space="preserve">[3]</w:t>
        </w:r>
      </w:hyperlink>
      <w:r>
        <w:t xml:space="preserve">. Diese Methodik weist jedoch fundamentale Limitationen auf:</w:t>
      </w:r>
    </w:p>
    <w:p>
      <w:pPr>
        <w:pStyle w:val="ListParagraph"/>
        <w:numPr>
          <w:ilvl w:val="0"/>
          <w:numId w:val="2"/>
        </w:numPr>
      </w:pPr>
      <w:r>
        <w:t xml:space="preserve">Reine Stenosegrad-Messung vernachlässigt Plaque-Morphologie und -Vulnerabilität</w:t>
      </w:r>
    </w:p>
    <w:p>
      <w:pPr>
        <w:pStyle w:val="ListParagraph"/>
        <w:numPr>
          <w:ilvl w:val="0"/>
          <w:numId w:val="2"/>
        </w:numPr>
      </w:pPr>
      <w:r>
        <w:t xml:space="preserve">PSV-Messungen unterestimieren moderate Läsionen und überestimieren hochgradige Stenosen</w:t>
      </w:r>
    </w:p>
    <w:p>
      <w:pPr>
        <w:pStyle w:val="ListParagraph"/>
        <w:numPr>
          <w:ilvl w:val="0"/>
          <w:numId w:val="2"/>
        </w:numPr>
      </w:pPr>
      <w:r>
        <w:t xml:space="preserve">Fehlende Berücksichtigung von Plaque-Vulnerability-Markern</w:t>
      </w:r>
    </w:p>
    <w:p>
      <w:pPr>
        <w:pStyle w:val="ListParagraph"/>
        <w:numPr>
          <w:ilvl w:val="0"/>
          <w:numId w:val="2"/>
        </w:numPr>
      </w:pPr>
      <w:r>
        <w:t xml:space="preserve">Unzureichende Risikostratifizierung für asymptomatische Patienten</w:t>
      </w:r>
    </w:p>
    <w:p>
      <w:pPr>
        <w:pStyle w:val="Heading2"/>
      </w:pPr>
      <w:r>
        <w:t xml:space="preserve">1.3 Notwendigkeit der Plaque-Vulnerability-Analyse</w:t>
      </w:r>
    </w:p>
    <w:p>
      <w:r>
        <w:t xml:space="preserve">Moderne Forschung zeigt, dass die Plaque-Vulnerabilität ein entscheidender Faktor für das Schlaganfallrisiko darstellt </w:t>
      </w:r>
      <w:hyperlink w:history="1" w:anchor="ref4">
        <w:r>
          <w:rPr>
            <w:rStyle w:val="Hyperlink"/>
          </w:rPr>
          <w:t xml:space="preserve">[4]</w:t>
        </w:r>
      </w:hyperlink>
      <w:r>
        <w:t xml:space="preserve">. Kritische Vulnerability-Marker umfassen:</w:t>
      </w:r>
    </w:p>
    <w:p>
      <w:pPr>
        <w:pStyle w:val="ListParagraph"/>
        <w:numPr>
          <w:ilvl w:val="0"/>
          <w:numId w:val="2"/>
        </w:numPr>
      </w:pPr>
      <w:r>
        <w:t xml:space="preserve">Intraplaque-Hämorrhagien als Hochrisiko-Indikator</w:t>
      </w:r>
    </w:p>
    <w:p>
      <w:pPr>
        <w:pStyle w:val="ListParagraph"/>
        <w:numPr>
          <w:ilvl w:val="0"/>
          <w:numId w:val="2"/>
        </w:numPr>
      </w:pPr>
      <w:r>
        <w:t xml:space="preserve">Dünne fibröse Kappen mit erhöhter Ruptur-Gefahr</w:t>
      </w:r>
    </w:p>
    <w:p>
      <w:pPr>
        <w:pStyle w:val="ListParagraph"/>
        <w:numPr>
          <w:ilvl w:val="0"/>
          <w:numId w:val="2"/>
        </w:numPr>
      </w:pPr>
      <w:r>
        <w:t xml:space="preserve">Lipidreiche Nekrosekerne mit inflammatorischer Aktivität</w:t>
      </w:r>
    </w:p>
    <w:p>
      <w:pPr>
        <w:pStyle w:val="ListParagraph"/>
        <w:numPr>
          <w:ilvl w:val="0"/>
          <w:numId w:val="2"/>
        </w:numPr>
      </w:pPr>
      <w:r>
        <w:t xml:space="preserve">Perivaskuläres Fettgewebe (PVAT) als Entzündungsmarker</w:t>
      </w:r>
    </w:p>
    <w:p>
      <w:pPr>
        <w:pStyle w:val="Heading1"/>
      </w:pPr>
      <w:bookmarkStart w:name="section2" w:id="1"/>
      <w:r>
        <w:t xml:space="preserve">2. Das Carotis-AI Konzept</w:t>
      </w:r>
      <w:bookmarkEnd w:id="1"/>
    </w:p>
    <w:p>
      <w:r>
        <w:t xml:space="preserve">Carotis-AI stellt eine innovative Local-First KI-Lösung dar, die speziell für die Carotis-Stenose-Diagnostik entwickelt wurde und höchste Datenschutzstandards mit modernster KI-Technologie verbindet.</w:t>
      </w:r>
    </w:p>
    <w:p>
      <w:pPr>
        <w:pStyle w:val="Heading2"/>
      </w:pPr>
      <w:r>
        <w:t xml:space="preserve">2.1 Local-First Edge AI Architektur</w:t>
      </w:r>
    </w:p>
    <w:p>
      <w:r>
        <w:t xml:space="preserve">Das System basiert auf einer vollständig lokalen KI-Architektur ohne Cloud-Anbindung, wodurch 100%ige DSGVO-Konformität gewährleistet wird </w:t>
      </w:r>
      <w:hyperlink w:history="1" w:anchor="ref5">
        <w:r>
          <w:rPr>
            <w:rStyle w:val="Hyperlink"/>
          </w:rPr>
          <w:t xml:space="preserve">[5]</w:t>
        </w:r>
      </w:hyperlink>
      <w:r>
        <w:t xml:space="preserve">. Die Edge-AI-Implementierung ermöglicht:</w:t>
      </w:r>
    </w:p>
    <w:p>
      <w:pPr>
        <w:pStyle w:val="ListParagraph"/>
        <w:numPr>
          <w:ilvl w:val="0"/>
          <w:numId w:val="2"/>
        </w:numPr>
      </w:pPr>
      <w:r>
        <w:t xml:space="preserve">Vollständige Datenhoheit ohne externe Übertragung</w:t>
      </w:r>
    </w:p>
    <w:p>
      <w:pPr>
        <w:pStyle w:val="ListParagraph"/>
        <w:numPr>
          <w:ilvl w:val="0"/>
          <w:numId w:val="2"/>
        </w:numPr>
      </w:pPr>
      <w:r>
        <w:t xml:space="preserve">Echtzeitverarbeitung ohne Latenz-Probleme</w:t>
      </w:r>
    </w:p>
    <w:p>
      <w:pPr>
        <w:pStyle w:val="ListParagraph"/>
        <w:numPr>
          <w:ilvl w:val="0"/>
          <w:numId w:val="2"/>
        </w:numPr>
      </w:pPr>
      <w:r>
        <w:t xml:space="preserve">Unabhängigkeit von Internetverbindung und Cloud-Services</w:t>
      </w:r>
    </w:p>
    <w:p>
      <w:pPr>
        <w:pStyle w:val="ListParagraph"/>
        <w:numPr>
          <w:ilvl w:val="0"/>
          <w:numId w:val="2"/>
        </w:numPr>
      </w:pPr>
      <w:r>
        <w:t xml:space="preserve">Kosteneffizienz durch Wegfall von Lizenzgebühren</w:t>
      </w:r>
    </w:p>
    <w:p>
      <w:pPr>
        <w:pStyle w:val="Heading2"/>
      </w:pPr>
      <w:r>
        <w:t xml:space="preserve">2.2 MFSD-UNet Architektur (State-of-the-Art 2024/25)</w:t>
      </w:r>
    </w:p>
    <w:p>
      <w:r>
        <w:t xml:space="preserve">Das Herzstück von Carotis-AI bildet eine Multi-Scale Feature Squeeze and Dilated UNet (MFSD-UNet) Architektur, die speziell für medizinische Bildsegmentierung optimiert wurde </w:t>
      </w:r>
      <w:hyperlink w:history="1" w:anchor="ref6">
        <w:r>
          <w:rPr>
            <w:rStyle w:val="Hyperlink"/>
          </w:rPr>
          <w:t xml:space="preserve">[6]</w:t>
        </w:r>
      </w:hyperlink>
      <w:r>
        <w:t xml:space="preserve">. Diese fortschrittliche Architektur bietet:</w:t>
      </w:r>
    </w:p>
    <w:p>
      <w:pPr>
        <w:pStyle w:val="ListParagraph"/>
        <w:numPr>
          <w:ilvl w:val="0"/>
          <w:numId w:val="2"/>
        </w:numPr>
      </w:pPr>
      <w:r>
        <w:t xml:space="preserve">Hierarchische Feature-Extraktion für präzise Plaque-Segmentierung</w:t>
      </w:r>
    </w:p>
    <w:p>
      <w:pPr>
        <w:pStyle w:val="ListParagraph"/>
        <w:numPr>
          <w:ilvl w:val="0"/>
          <w:numId w:val="2"/>
        </w:numPr>
      </w:pPr>
      <w:r>
        <w:t xml:space="preserve">Multi-Scale Dilated Convolutions für verschiedene Plaque-Größen</w:t>
      </w:r>
    </w:p>
    <w:p>
      <w:pPr>
        <w:pStyle w:val="ListParagraph"/>
        <w:numPr>
          <w:ilvl w:val="0"/>
          <w:numId w:val="2"/>
        </w:numPr>
      </w:pPr>
      <w:r>
        <w:t xml:space="preserve">Feature Squeeze Mechanismen für optimierte Recheneffizienz</w:t>
      </w:r>
    </w:p>
    <w:p>
      <w:pPr>
        <w:pStyle w:val="ListParagraph"/>
        <w:numPr>
          <w:ilvl w:val="0"/>
          <w:numId w:val="2"/>
        </w:numPr>
      </w:pPr>
      <w:r>
        <w:t xml:space="preserve">Gated Fusion für robuste Multi-Modal-Integration</w:t>
      </w:r>
    </w:p>
    <w:p>
      <w:pPr>
        <w:pStyle w:val="Heading2"/>
      </w:pPr>
      <w:r>
        <w:t xml:space="preserve">2.3 Explainable AI mit Grad-CAM Heatmaps</w:t>
      </w:r>
    </w:p>
    <w:p>
      <w:r>
        <w:t xml:space="preserve">Carotis-AI implementiert Gradient-weighted Class Activation Mapping (Grad-CAM) für vollständige Transparenz der KI-Entscheidungen </w:t>
      </w:r>
      <w:hyperlink w:history="1" w:anchor="ref7">
        <w:r>
          <w:rPr>
            <w:rStyle w:val="Hyperlink"/>
          </w:rPr>
          <w:t xml:space="preserve">[7]</w:t>
        </w:r>
      </w:hyperlink>
      <w:r>
        <w:t xml:space="preserve">. Diese Explainable AI-Komponente ermöglicht:</w:t>
      </w:r>
    </w:p>
    <w:p>
      <w:pPr>
        <w:pStyle w:val="ListParagraph"/>
        <w:numPr>
          <w:ilvl w:val="0"/>
          <w:numId w:val="2"/>
        </w:numPr>
      </w:pPr>
      <w:r>
        <w:t xml:space="preserve">Visualisierung der entscheidungsrelevanten Bildbereiche</w:t>
      </w:r>
    </w:p>
    <w:p>
      <w:pPr>
        <w:pStyle w:val="ListParagraph"/>
        <w:numPr>
          <w:ilvl w:val="0"/>
          <w:numId w:val="2"/>
        </w:numPr>
      </w:pPr>
      <w:r>
        <w:t xml:space="preserve">Nachvollziehbare Plaque-Vulnerability-Bewertung</w:t>
      </w:r>
    </w:p>
    <w:p>
      <w:pPr>
        <w:pStyle w:val="ListParagraph"/>
        <w:numPr>
          <w:ilvl w:val="0"/>
          <w:numId w:val="2"/>
        </w:numPr>
      </w:pPr>
      <w:r>
        <w:t xml:space="preserve">Vertrauensaufbau zwischen Arzt und KI-System</w:t>
      </w:r>
    </w:p>
    <w:p>
      <w:pPr>
        <w:pStyle w:val="ListParagraph"/>
        <w:numPr>
          <w:ilvl w:val="0"/>
          <w:numId w:val="2"/>
        </w:numPr>
      </w:pPr>
      <w:r>
        <w:t xml:space="preserve">Lernmöglichkeiten für Assistenzärzte durch visuelle Erklärungen</w:t>
      </w:r>
    </w:p>
    <w:p>
      <w:pPr>
        <w:pStyle w:val="Heading2"/>
      </w:pPr>
      <w:r>
        <w:t xml:space="preserve">2.4 Human-in-the-Loop Design</w:t>
      </w:r>
    </w:p>
    <w:p>
      <w:r>
        <w:t xml:space="preserve">Das System folgt einem Human-in-the-Loop-Ansatz, der den Radiologen als zentrale Entscheidungsinstanz positioniert </w:t>
      </w:r>
      <w:hyperlink w:history="1" w:anchor="ref8">
        <w:r>
          <w:rPr>
            <w:rStyle w:val="Hyperlink"/>
          </w:rPr>
          <w:t xml:space="preserve">[8]</w:t>
        </w:r>
      </w:hyperlink>
      <w:r>
        <w:t xml:space="preserve">. Kernelemente umfassen:</w:t>
      </w:r>
    </w:p>
    <w:p>
      <w:pPr>
        <w:pStyle w:val="ListParagraph"/>
        <w:numPr>
          <w:ilvl w:val="0"/>
          <w:numId w:val="2"/>
        </w:numPr>
      </w:pPr>
      <w:r>
        <w:t xml:space="preserve">KI-Assistenz ohne Ersetzung der ärztlichen Expertise</w:t>
      </w:r>
    </w:p>
    <w:p>
      <w:pPr>
        <w:pStyle w:val="ListParagraph"/>
        <w:numPr>
          <w:ilvl w:val="0"/>
          <w:numId w:val="2"/>
        </w:numPr>
      </w:pPr>
      <w:r>
        <w:t xml:space="preserve">Interaktive Korrektur- und Lernmechanismen</w:t>
      </w:r>
    </w:p>
    <w:p>
      <w:pPr>
        <w:pStyle w:val="ListParagraph"/>
        <w:numPr>
          <w:ilvl w:val="0"/>
          <w:numId w:val="2"/>
        </w:numPr>
      </w:pPr>
      <w:r>
        <w:t xml:space="preserve">Kontinuierliche Modellverbesserung durch Feedback</w:t>
      </w:r>
    </w:p>
    <w:p>
      <w:pPr>
        <w:pStyle w:val="ListParagraph"/>
        <w:numPr>
          <w:ilvl w:val="0"/>
          <w:numId w:val="2"/>
        </w:numPr>
      </w:pPr>
      <w:r>
        <w:t xml:space="preserve">Bewahrung der ärztlichen Verantwortung und Entscheidungshoheit</w:t>
      </w:r>
    </w:p>
    <w:p>
      <w:pPr>
        <w:pStyle w:val="Heading1"/>
      </w:pPr>
      <w:bookmarkStart w:name="section3" w:id="1"/>
      <w:r>
        <w:t xml:space="preserve">3. Vergleich: Floy vs. Carotis-AI</w:t>
      </w:r>
      <w:bookmarkEnd w:id="1"/>
    </w:p>
    <w:p>
      <w:r>
        <w:t xml:space="preserve">Die folgende Analyse verdeutlicht die strategischen Vorteile von Carotis-AI gegenüber der bestehenden Floy-Lösung in kritischen Dimensionen: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Kriterium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Floy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Carotis-AI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Architektur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Cloud-basiert, externe Datenverarbeitung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Local-First Edge AI, vollständig lokal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DSGVO-Konformität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Unklar, abhängig von Cloud-Provider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100% konform, keine Datenübertragung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Spezialisierung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Generalist-Ansatz, multiple Anwendungen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Carotis-fokussiert, hochspezialisiert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Explainability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Limitiert, Black-Box-Verhalten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Vollständig transparent mit Grad-CAM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Kostenstruktur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Laufende Lizenzgebühren, Cloud-Kosten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Einmalige Implementierung, keine Folgekosten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Publikationspotenzial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Gering, etablierte Technologie</w:t>
            </w:r>
          </w:p>
        </w:tc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Hoch, erste Local-First Carotis-Lösung</w:t>
            </w:r>
          </w:p>
        </w:tc>
      </w:tr>
    </w:tbl>
    <w:p>
      <w:pPr>
        <w:pStyle w:val="Heading1"/>
      </w:pPr>
      <w:bookmarkStart w:name="section4" w:id="1"/>
      <w:r>
        <w:t xml:space="preserve">4. Engineering Harnessing Methode</w:t>
      </w:r>
      <w:bookmarkEnd w:id="1"/>
    </w:p>
    <w:p>
      <w:r>
        <w:t xml:space="preserve">Die Entwicklung von Carotis-AI folgt einer innovativen Engineering Harnessing Methode, die systematische Wissensaggregation mit automatisierten Entwicklungspipelines und regulatorischer Compliance verbindet.</w:t>
      </w:r>
    </w:p>
    <w:p>
      <w:pPr>
        <w:pStyle w:val="Heading2"/>
      </w:pPr>
      <w:r>
        <w:t xml:space="preserve">4.1 Systematische Wissensaggregation</w:t>
      </w:r>
    </w:p>
    <w:p>
      <w:r>
        <w:t xml:space="preserve">Die Methode integriert Expertise aus drei kritischen Domänen:</w:t>
      </w:r>
    </w:p>
    <w:p>
      <w:pPr>
        <w:pStyle w:val="ListParagraph"/>
        <w:numPr>
          <w:ilvl w:val="0"/>
          <w:numId w:val="2"/>
        </w:numPr>
      </w:pPr>
      <w:r>
        <w:t xml:space="preserve">Medizinische Expertise: Radiologische Befundung, Carotis-Pathophysiologie, klinische Workflows</w:t>
      </w:r>
    </w:p>
    <w:p>
      <w:pPr>
        <w:pStyle w:val="ListParagraph"/>
        <w:numPr>
          <w:ilvl w:val="0"/>
          <w:numId w:val="2"/>
        </w:numPr>
      </w:pPr>
      <w:r>
        <w:t xml:space="preserve">Engineering-Kompetenz: MFSD-UNet Architektur, Edge-AI Optimierung, Hardware-Integration</w:t>
      </w:r>
    </w:p>
    <w:p>
      <w:pPr>
        <w:pStyle w:val="ListParagraph"/>
        <w:numPr>
          <w:ilvl w:val="0"/>
          <w:numId w:val="2"/>
        </w:numPr>
      </w:pPr>
      <w:r>
        <w:t xml:space="preserve">KI-Forschung: Explainable AI, Human-in-the-Loop Design, Medical Image Analysis</w:t>
      </w:r>
    </w:p>
    <w:p>
      <w:pPr>
        <w:pStyle w:val="Heading2"/>
      </w:pPr>
      <w:r>
        <w:t xml:space="preserve">4.2 Automatisierte Entwicklungspipelines</w:t>
      </w:r>
    </w:p>
    <w:p>
      <w:r>
        <w:t xml:space="preserve">Moderne KI-Assistenten beschleunigen den Entwicklungsprozess erheblich:</w:t>
      </w:r>
    </w:p>
    <w:p>
      <w:pPr>
        <w:pStyle w:val="ListParagraph"/>
        <w:numPr>
          <w:ilvl w:val="0"/>
          <w:numId w:val="2"/>
        </w:numPr>
      </w:pPr>
      <w:r>
        <w:t xml:space="preserve">Claude für Architektur-Design und Code-Generierung</w:t>
      </w:r>
    </w:p>
    <w:p>
      <w:pPr>
        <w:pStyle w:val="ListParagraph"/>
        <w:numPr>
          <w:ilvl w:val="0"/>
          <w:numId w:val="2"/>
        </w:numPr>
      </w:pPr>
      <w:r>
        <w:t xml:space="preserve">GitHub Copilot für automatisierte Code-Vervollständigung</w:t>
      </w:r>
    </w:p>
    <w:p>
      <w:pPr>
        <w:pStyle w:val="ListParagraph"/>
        <w:numPr>
          <w:ilvl w:val="0"/>
          <w:numId w:val="2"/>
        </w:numPr>
      </w:pPr>
      <w:r>
        <w:t xml:space="preserve">Automatisierte Testing und Continuous Integration</w:t>
      </w:r>
    </w:p>
    <w:p>
      <w:pPr>
        <w:pStyle w:val="ListParagraph"/>
        <w:numPr>
          <w:ilvl w:val="0"/>
          <w:numId w:val="2"/>
        </w:numPr>
      </w:pPr>
      <w:r>
        <w:t xml:space="preserve">KI-gestützte Dokumentation und Compliance-Checks</w:t>
      </w:r>
    </w:p>
    <w:p>
      <w:pPr>
        <w:pStyle w:val="Heading2"/>
      </w:pPr>
      <w:r>
        <w:t xml:space="preserve">4.3 Regulatory-by-Design Ansatz</w:t>
      </w:r>
    </w:p>
    <w:p>
      <w:r>
        <w:t xml:space="preserve">Die Entwicklung integriert regulatorische Anforderungen von Beginn an </w:t>
      </w:r>
      <w:hyperlink w:history="1" w:anchor="ref9">
        <w:r>
          <w:rPr>
            <w:rStyle w:val="Hyperlink"/>
          </w:rPr>
          <w:t xml:space="preserve">[9]</w:t>
        </w:r>
      </w:hyperlink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DIN EN 62304 Konformität für Medizinprodukte-Software</w:t>
      </w:r>
    </w:p>
    <w:p>
      <w:pPr>
        <w:pStyle w:val="ListParagraph"/>
        <w:numPr>
          <w:ilvl w:val="0"/>
          <w:numId w:val="2"/>
        </w:numPr>
      </w:pPr>
      <w:r>
        <w:t xml:space="preserve">EU AI Act Compliance für Hochrisiko-KI-Systeme</w:t>
      </w:r>
    </w:p>
    <w:p>
      <w:pPr>
        <w:pStyle w:val="ListParagraph"/>
        <w:numPr>
          <w:ilvl w:val="0"/>
          <w:numId w:val="2"/>
        </w:numPr>
      </w:pPr>
      <w:r>
        <w:t xml:space="preserve">DSGVO-konforme Datenverarbeitung durch Local-First Design</w:t>
      </w:r>
    </w:p>
    <w:p>
      <w:pPr>
        <w:pStyle w:val="ListParagraph"/>
        <w:numPr>
          <w:ilvl w:val="0"/>
          <w:numId w:val="2"/>
        </w:numPr>
      </w:pPr>
      <w:r>
        <w:t xml:space="preserve">MDR-konforme Risikomanagement-Dokumentation</w:t>
      </w:r>
    </w:p>
    <w:p>
      <w:pPr>
        <w:pStyle w:val="Heading2"/>
      </w:pPr>
      <w:r>
        <w:t xml:space="preserve">4.4 Transnationale Validierung</w:t>
      </w:r>
    </w:p>
    <w:p>
      <w:r>
        <w:t xml:space="preserve">Die Validierungsstrategie umfasst eine einzigartige deutsch-jordanische Kooperation:</w:t>
      </w:r>
    </w:p>
    <w:p>
      <w:pPr>
        <w:pStyle w:val="ListParagraph"/>
        <w:numPr>
          <w:ilvl w:val="0"/>
          <w:numId w:val="2"/>
        </w:numPr>
      </w:pPr>
      <w:r>
        <w:t xml:space="preserve">Deutsche Kohorte: Klinikum Dortmund, standardisierte Protokolle</w:t>
      </w:r>
    </w:p>
    <w:p>
      <w:pPr>
        <w:pStyle w:val="ListParagraph"/>
        <w:numPr>
          <w:ilvl w:val="0"/>
          <w:numId w:val="2"/>
        </w:numPr>
      </w:pPr>
      <w:r>
        <w:t xml:space="preserve">Jordanische Kohorte: Unterschiedliche Patientenpopulation, Geräte-Diversität</w:t>
      </w:r>
    </w:p>
    <w:p>
      <w:pPr>
        <w:pStyle w:val="ListParagraph"/>
        <w:numPr>
          <w:ilvl w:val="0"/>
          <w:numId w:val="2"/>
        </w:numPr>
      </w:pPr>
      <w:r>
        <w:t xml:space="preserve">Cross-Cultural Validation für globale Anwendbarkeit</w:t>
      </w:r>
    </w:p>
    <w:p>
      <w:pPr>
        <w:pStyle w:val="ListParagraph"/>
        <w:numPr>
          <w:ilvl w:val="0"/>
          <w:numId w:val="2"/>
        </w:numPr>
      </w:pPr>
      <w:r>
        <w:t xml:space="preserve">Robustheitstests unter verschiedenen klinischen Bedingungen</w:t>
      </w:r>
    </w:p>
    <w:p>
      <w:pPr>
        <w:pStyle w:val="Heading1"/>
      </w:pPr>
      <w:bookmarkStart w:name="section5" w:id="1"/>
      <w:r>
        <w:t xml:space="preserve">5. Nutzen für das Klinikum Dortmund</w:t>
      </w:r>
      <w:bookmarkEnd w:id="1"/>
    </w:p>
    <w:p>
      <w:r>
        <w:t xml:space="preserve">Die Implementierung von Carotis-AI positioniert das Klinikum Dortmund als Vorreiter in der KI-gestützten Radiologie mit messbaren strategischen Vorteilen.</w:t>
      </w:r>
    </w:p>
    <w:p>
      <w:pPr>
        <w:pStyle w:val="Heading2"/>
      </w:pPr>
      <w:r>
        <w:t xml:space="preserve">5.1 Forschungs-Leadership in KI-Radiologie</w:t>
      </w:r>
    </w:p>
    <w:p>
      <w:r>
        <w:t xml:space="preserve">Das Projekt etabliert das Klinikum als führende Institution in der medizinischen KI-Forschung:</w:t>
      </w:r>
    </w:p>
    <w:p>
      <w:pPr>
        <w:pStyle w:val="ListParagraph"/>
        <w:numPr>
          <w:ilvl w:val="0"/>
          <w:numId w:val="2"/>
        </w:numPr>
      </w:pPr>
      <w:r>
        <w:t xml:space="preserve">Erste Local-First KI-Lösung für Carotis-Diagnostik weltweit</w:t>
      </w:r>
    </w:p>
    <w:p>
      <w:pPr>
        <w:pStyle w:val="ListParagraph"/>
        <w:numPr>
          <w:ilvl w:val="0"/>
          <w:numId w:val="2"/>
        </w:numPr>
      </w:pPr>
      <w:r>
        <w:t xml:space="preserve">Pionierstellung in DSGVO-konformer medizinischer KI</w:t>
      </w:r>
    </w:p>
    <w:p>
      <w:pPr>
        <w:pStyle w:val="ListParagraph"/>
        <w:numPr>
          <w:ilvl w:val="0"/>
          <w:numId w:val="2"/>
        </w:numPr>
      </w:pPr>
      <w:r>
        <w:t xml:space="preserve">Internationale Sichtbarkeit durch transnationale Validierung</w:t>
      </w:r>
    </w:p>
    <w:p>
      <w:pPr>
        <w:pStyle w:val="ListParagraph"/>
        <w:numPr>
          <w:ilvl w:val="0"/>
          <w:numId w:val="2"/>
        </w:numPr>
      </w:pPr>
      <w:r>
        <w:t xml:space="preserve">Expertise-Aufbau in Explainable AI für medizinische Anwendungen</w:t>
      </w:r>
    </w:p>
    <w:p>
      <w:pPr>
        <w:pStyle w:val="Heading2"/>
      </w:pPr>
      <w:r>
        <w:t xml:space="preserve">5.2 Hochrangige Publikationsmöglichkeiten</w:t>
      </w:r>
    </w:p>
    <w:p>
      <w:r>
        <w:t xml:space="preserve">Das innovative Konzept ermöglicht Publikationen in Top-Tier Journals:</w:t>
      </w:r>
    </w:p>
    <w:p>
      <w:pPr>
        <w:pStyle w:val="ListParagraph"/>
        <w:numPr>
          <w:ilvl w:val="0"/>
          <w:numId w:val="2"/>
        </w:numPr>
      </w:pPr>
      <w:r>
        <w:t xml:space="preserve">Radiology (Impact Factor: 29.1) - Local-First AI in Medical Imaging</w:t>
      </w:r>
    </w:p>
    <w:p>
      <w:pPr>
        <w:pStyle w:val="ListParagraph"/>
        <w:numPr>
          <w:ilvl w:val="0"/>
          <w:numId w:val="2"/>
        </w:numPr>
      </w:pPr>
      <w:r>
        <w:t xml:space="preserve">Journal of NeuroInterventional Surgery (JNIS) - Carotis-spezifische Anwendung</w:t>
      </w:r>
    </w:p>
    <w:p>
      <w:pPr>
        <w:pStyle w:val="ListParagraph"/>
        <w:numPr>
          <w:ilvl w:val="0"/>
          <w:numId w:val="2"/>
        </w:numPr>
      </w:pPr>
      <w:r>
        <w:t xml:space="preserve">Nature Medicine - Explainable AI in Clinical Practice</w:t>
      </w:r>
    </w:p>
    <w:p>
      <w:pPr>
        <w:pStyle w:val="ListParagraph"/>
        <w:numPr>
          <w:ilvl w:val="0"/>
          <w:numId w:val="2"/>
        </w:numPr>
      </w:pPr>
      <w:r>
        <w:t xml:space="preserve">IEEE Transactions on Medical Imaging - MFSD-UNet Architektur</w:t>
      </w:r>
    </w:p>
    <w:p>
      <w:pPr>
        <w:pStyle w:val="Heading2"/>
      </w:pPr>
      <w:r>
        <w:t xml:space="preserve">5.3 Drittmitteleignung und Förderungspotenzial</w:t>
      </w:r>
    </w:p>
    <w:p>
      <w:r>
        <w:t xml:space="preserve">Das Projekt qualifiziert sich für bedeutende Forschungsförderungen:</w:t>
      </w:r>
    </w:p>
    <w:p>
      <w:pPr>
        <w:pStyle w:val="ListParagraph"/>
        <w:numPr>
          <w:ilvl w:val="0"/>
          <w:numId w:val="2"/>
        </w:numPr>
      </w:pPr>
      <w:r>
        <w:t xml:space="preserve">BMBF Förderung: KI in der Medizin (bis zu 3 Mio. Euro)</w:t>
      </w:r>
    </w:p>
    <w:p>
      <w:pPr>
        <w:pStyle w:val="ListParagraph"/>
        <w:numPr>
          <w:ilvl w:val="0"/>
          <w:numId w:val="2"/>
        </w:numPr>
      </w:pPr>
      <w:r>
        <w:t xml:space="preserve">DFG Sachbeihilfe: Grundlagenforschung Explainable AI</w:t>
      </w:r>
    </w:p>
    <w:p>
      <w:pPr>
        <w:pStyle w:val="ListParagraph"/>
        <w:numPr>
          <w:ilvl w:val="0"/>
          <w:numId w:val="2"/>
        </w:numPr>
      </w:pPr>
      <w:r>
        <w:t xml:space="preserve">EU Horizon Europe: Digital Health and Care (bis zu 5 Mio. Euro)</w:t>
      </w:r>
    </w:p>
    <w:p>
      <w:pPr>
        <w:pStyle w:val="ListParagraph"/>
        <w:numPr>
          <w:ilvl w:val="0"/>
          <w:numId w:val="2"/>
        </w:numPr>
      </w:pPr>
      <w:r>
        <w:t xml:space="preserve">Industriekooperationen: Siemens Healthineers, Philips Healthcare</w:t>
      </w:r>
    </w:p>
    <w:p>
      <w:pPr>
        <w:pStyle w:val="Heading2"/>
      </w:pPr>
      <w:r>
        <w:t xml:space="preserve">5.4 Ausbildungsattraktivität für Assistenzärzte</w:t>
      </w:r>
    </w:p>
    <w:p>
      <w:r>
        <w:t xml:space="preserve">Carotis-AI steigert die Attraktivität der radiologischen Weiterbildung erheblich:</w:t>
      </w:r>
    </w:p>
    <w:p>
      <w:pPr>
        <w:pStyle w:val="ListParagraph"/>
        <w:numPr>
          <w:ilvl w:val="0"/>
          <w:numId w:val="2"/>
        </w:numPr>
      </w:pPr>
      <w:r>
        <w:t xml:space="preserve">Hands-on Erfahrung mit modernster KI-Technologie</w:t>
      </w:r>
    </w:p>
    <w:p>
      <w:pPr>
        <w:pStyle w:val="ListParagraph"/>
        <w:numPr>
          <w:ilvl w:val="0"/>
          <w:numId w:val="2"/>
        </w:numPr>
      </w:pPr>
      <w:r>
        <w:t xml:space="preserve">Lernmöglichkeiten durch Explainable AI Visualisierungen</w:t>
      </w:r>
    </w:p>
    <w:p>
      <w:pPr>
        <w:pStyle w:val="ListParagraph"/>
        <w:numPr>
          <w:ilvl w:val="0"/>
          <w:numId w:val="2"/>
        </w:numPr>
      </w:pPr>
      <w:r>
        <w:t xml:space="preserve">Forschungsbeteiligung und Publikationsmöglichkeiten</w:t>
      </w:r>
    </w:p>
    <w:p>
      <w:pPr>
        <w:pStyle w:val="ListParagraph"/>
        <w:numPr>
          <w:ilvl w:val="0"/>
          <w:numId w:val="2"/>
        </w:numPr>
      </w:pPr>
      <w:r>
        <w:t xml:space="preserve">Zukunftsorientierte Kompetenzentwicklung in Digital Health</w:t>
      </w:r>
    </w:p>
    <w:p>
      <w:r>
        <w:t xml:space="preserve">Das Carotis-AI Projekt repräsentiert eine strategische Investition in die Zukunft der medizinischen Diagnostik. Durch die Kombination von Local-First KI-Technologie, regulatorischer Compliance und klinischer Exzellenz positioniert sich das Klinikum Dortmund als Vorreiter in der nächsten Generation der radiologischen Diagnostik.</w:t>
      </w:r>
    </w:p>
    <w:p>
      <w:pPr>
        <w:pStyle w:val="Heading1"/>
      </w:pPr>
      <w:bookmarkStart w:name="references" w:id="1"/>
      <w:r>
        <w:t xml:space="preserve">6. Referenzen</w:t>
      </w:r>
      <w:bookmarkEnd w:id="1"/>
    </w:p>
    <w:p>
      <w:bookmarkStart w:name="ref1" w:id="1"/>
      <w:r>
        <w:t xml:space="preserve">[1] Schlachetzki, F., Pfister, K. (2024). Ultraschall der Karotiden – Stenosegraduierung und Risikobeurteilung. </w:t>
      </w:r>
      <w:hyperlink w:history="1" r:id="rId1qmbtuthioizkgrdemmhx">
        <w:r>
          <w:rPr>
            <w:rStyle w:val="Hyperlink"/>
          </w:rPr>
          <w:t xml:space="preserve">https://link.springer.com/article/10.1007/s00772-024-01153-1</w:t>
        </w:r>
      </w:hyperlink>
      <w:bookmarkEnd w:id="1"/>
    </w:p>
    <w:p>
      <w:bookmarkStart w:name="ref2" w:id="1"/>
      <w:r>
        <w:t xml:space="preserve">[2] Assessment of Inter-Observer Variability, Cardiac Cycle and Gender Influence on Carotid Intima-Media Thickness. Saudi Journal of Radiology. </w:t>
      </w:r>
      <w:hyperlink w:history="1" r:id="rIdurnwdz0ou8nb8vfzs0n6z">
        <w:r>
          <w:rPr>
            <w:rStyle w:val="Hyperlink"/>
          </w:rPr>
          <w:t xml:space="preserve">https://saudiradiology.com/index.php/home/article/download/230/58</w:t>
        </w:r>
      </w:hyperlink>
      <w:bookmarkEnd w:id="1"/>
    </w:p>
    <w:p>
      <w:bookmarkStart w:name="ref3" w:id="1"/>
      <w:r>
        <w:t xml:space="preserve">[3] NASCET-Kriterien. DocCheck Flexikon. </w:t>
      </w:r>
      <w:hyperlink w:history="1" r:id="rIdntdt3nnrmhilzbixvagjo">
        <w:r>
          <w:rPr>
            <w:rStyle w:val="Hyperlink"/>
          </w:rPr>
          <w:t xml:space="preserve">https://flexikon.doccheck.com/de/NASCET-Kriterien</w:t>
        </w:r>
      </w:hyperlink>
      <w:bookmarkEnd w:id="1"/>
    </w:p>
    <w:p>
      <w:bookmarkStart w:name="ref4" w:id="1"/>
      <w:r>
        <w:t xml:space="preserve">[4] Machine Learning for Carotid Plaque Vulnerability Assessment using CTA Features. Neuroradiology. </w:t>
      </w:r>
      <w:hyperlink w:history="1" r:id="rId9odb4i5fohubhsyozqmkf">
        <w:r>
          <w:rPr>
            <w:rStyle w:val="Hyperlink"/>
          </w:rPr>
          <w:t xml:space="preserve">https://link.springer.com/content/pdf/10.1007/s00234-026-03984-z.pdf</w:t>
        </w:r>
      </w:hyperlink>
      <w:bookmarkEnd w:id="1"/>
    </w:p>
    <w:p>
      <w:bookmarkStart w:name="ref5" w:id="1"/>
      <w:r>
        <w:t xml:space="preserve">[5] AVNR - Privacy-first, Local-first AI. </w:t>
      </w:r>
      <w:hyperlink w:history="1" r:id="rIdyebedkuqo403h4tkuhd8c">
        <w:r>
          <w:rPr>
            <w:rStyle w:val="Hyperlink"/>
          </w:rPr>
          <w:t xml:space="preserve">https://avnr.ai/</w:t>
        </w:r>
      </w:hyperlink>
      <w:bookmarkEnd w:id="1"/>
    </w:p>
    <w:p>
      <w:bookmarkStart w:name="ref6" w:id="1"/>
      <w:r>
        <w:t xml:space="preserve">[6] FMD-UNet: fine-grained feature squeeze and multiscale cascade dilated semantic aggregation dual-decoder UNet for COVID-19 lung infection segmentation. IOPscience. </w:t>
      </w:r>
      <w:hyperlink w:history="1" r:id="rIddaamwq3as8fxrkwwgeaef">
        <w:r>
          <w:rPr>
            <w:rStyle w:val="Hyperlink"/>
          </w:rPr>
          <w:t xml:space="preserve">https://iopscience-iop-org-443.webvpn.synu.edu.cn/article/10.1088/2057-1976/ad6f12</w:t>
        </w:r>
      </w:hyperlink>
      <w:bookmarkEnd w:id="1"/>
    </w:p>
    <w:p>
      <w:bookmarkStart w:name="ref7" w:id="1"/>
      <w:r>
        <w:t xml:space="preserve">[7] Suara, S., Jha, A., Sinha, P., Sekh, A.A. (2023). Is Grad-CAM Explainable in Medical Images? arXiv:2307.10506. </w:t>
      </w:r>
      <w:hyperlink w:history="1" r:id="rIdxfbcnbnbf-cdadig60qdu">
        <w:r>
          <w:rPr>
            <w:rStyle w:val="Hyperlink"/>
          </w:rPr>
          <w:t xml:space="preserve">https://arxiv.org/abs/2307.10506</w:t>
        </w:r>
      </w:hyperlink>
      <w:bookmarkEnd w:id="1"/>
    </w:p>
    <w:p>
      <w:bookmarkStart w:name="ref8" w:id="1"/>
      <w:r>
        <w:t xml:space="preserve">[8] Bakken, S. (2023). AI in health: keeping the human in the loop. Journal of the American Medical Informatics Association. </w:t>
      </w:r>
      <w:hyperlink w:history="1" r:id="rIdvy6bihwvlsqezokctgu2f">
        <w:r>
          <w:rPr>
            <w:rStyle w:val="Hyperlink"/>
          </w:rPr>
          <w:t xml:space="preserve">https://pmc.ncbi.nlm.nih.gov/articles/PMC10280340/</w:t>
        </w:r>
      </w:hyperlink>
      <w:bookmarkEnd w:id="1"/>
    </w:p>
    <w:p>
      <w:bookmarkStart w:name="ref9" w:id="1"/>
      <w:r>
        <w:t xml:space="preserve">[9] EU AI Act for Medical Devices: Understanding the Linkages Between the AI Act, MDR/IVDR, and IEC 62304. Quarem Consulting. </w:t>
      </w:r>
      <w:hyperlink w:history="1" r:id="rId6rx0jkegaihx9vwoxxnjx">
        <w:r>
          <w:rPr>
            <w:rStyle w:val="Hyperlink"/>
          </w:rPr>
          <w:t xml:space="preserve">https://www.quaremconsulting.com/post/eu-ai-act-for-medical-devices</w:t>
        </w:r>
      </w:hyperlink>
      <w:bookmarkEnd w:id="1"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before="180" w:after="1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240"/>
      <w:jc w:val="center"/>
    </w:pPr>
    <w:rPr>
      <w:rFonts w:ascii="Calibri(Headings)" w:cs="Calibri(Headings)" w:eastAsia="Calibri(Headings)" w:hAnsi="Calibri(Headings)"/>
      <w:b/>
      <w:bCs/>
      <w:color w:val="4F81BD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480" w:after="0"/>
    </w:pPr>
    <w:rPr>
      <w:rFonts w:ascii="Calibri(Headings)" w:cs="Calibri(Headings)" w:eastAsia="Calibri(Headings)" w:hAnsi="Calibri(Headings)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0"/>
    </w:pPr>
    <w:rPr>
      <w:rFonts w:ascii="Calibri(Headings)" w:cs="Calibri(Headings)" w:eastAsia="Calibri(Headings)" w:hAnsi="Calibri(Headings)"/>
      <w:b/>
      <w:bCs/>
      <w:color w:val="4F81B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qmbtuthioizkgrdemmhx" Type="http://schemas.openxmlformats.org/officeDocument/2006/relationships/hyperlink" Target="https://link.springer.com/article/10.1007/s00772-024-01153-1" TargetMode="External"/><Relationship Id="rIdurnwdz0ou8nb8vfzs0n6z" Type="http://schemas.openxmlformats.org/officeDocument/2006/relationships/hyperlink" Target="https://saudiradiology.com/index.php/home/article/download/230/58" TargetMode="External"/><Relationship Id="rIdntdt3nnrmhilzbixvagjo" Type="http://schemas.openxmlformats.org/officeDocument/2006/relationships/hyperlink" Target="https://flexikon.doccheck.com/de/NASCET-Kriterien" TargetMode="External"/><Relationship Id="rId9odb4i5fohubhsyozqmkf" Type="http://schemas.openxmlformats.org/officeDocument/2006/relationships/hyperlink" Target="https://link.springer.com/content/pdf/10.1007/s00234-026-03984-z.pdf" TargetMode="External"/><Relationship Id="rIdyebedkuqo403h4tkuhd8c" Type="http://schemas.openxmlformats.org/officeDocument/2006/relationships/hyperlink" Target="https://avnr.ai/" TargetMode="External"/><Relationship Id="rIddaamwq3as8fxrkwwgeaef" Type="http://schemas.openxmlformats.org/officeDocument/2006/relationships/hyperlink" Target="https://iopscience-iop-org-443.webvpn.synu.edu.cn/article/10.1088/2057-1976/ad6f12" TargetMode="External"/><Relationship Id="rIdxfbcnbnbf-cdadig60qdu" Type="http://schemas.openxmlformats.org/officeDocument/2006/relationships/hyperlink" Target="https://arxiv.org/abs/2307.10506" TargetMode="External"/><Relationship Id="rIdvy6bihwvlsqezokctgu2f" Type="http://schemas.openxmlformats.org/officeDocument/2006/relationships/hyperlink" Target="https://pmc.ncbi.nlm.nih.gov/articles/PMC10280340/" TargetMode="External"/><Relationship Id="rId6rx0jkegaihx9vwoxxnjx" Type="http://schemas.openxmlformats.org/officeDocument/2006/relationships/hyperlink" Target="https://www.quaremconsulting.com/post/eu-ai-act-for-medical-devices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2026-04-27T06:53:02.758Z</dcterms:created>
  <dcterms:modified xsi:type="dcterms:W3CDTF">2026-04-27T06:53:02.774Z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