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Georgia" w:cs="Georgia" w:eastAsia="Georgia" w:hAnsi="Georgia"/>
          <w:b/>
          <w:bCs/>
          <w:color w:val="1a1a1a"/>
          <w:spacing w:val="40"/>
          <w:sz w:val="32"/>
          <w:szCs w:val="32"/>
        </w:rPr>
        <w:t xml:space="preserve">EXPOSÉ ZUR DISSERTATION</w:t>
      </w:r>
    </w:p>
    <w:p>
      <w:pPr>
        <w:spacing w:after="480"/>
        <w:jc w:val="center"/>
      </w:pPr>
      <w:r>
        <w:rPr>
          <w:rFonts w:ascii="Georgia" w:cs="Georgia" w:eastAsia="Georgia" w:hAnsi="Georgia"/>
          <w:b/>
          <w:bCs/>
          <w:i/>
          <w:iCs/>
          <w:color w:val="1a1a1a"/>
          <w:sz w:val="28"/>
          <w:szCs w:val="28"/>
        </w:rPr>
        <w:t xml:space="preserve">"Automated Recognition and Quantification of Cervical Carotid Artery Stenosis Using an Explainable, Local-First AI System: A Transnational Validation Study"</w:t>
      </w:r>
    </w:p>
    <w:tbl>
      <w:tblPr>
        <w:tblW w:type="pct" w:w="100%"/>
        <w:tblBorders>
          <w:top w:val="single" w:color="CCCCCC" w:sz="6"/>
          <w:left w:val="none"/>
          <w:bottom w:val="single" w:color="CCCCCC" w:sz="6"/>
          <w:right w:val="none"/>
          <w:insideH w:val="none"/>
          <w:insideV w:val="none"/>
        </w:tblBorders>
      </w:tblPr>
      <w:tblGrid>
        <w:gridCol w:w="100"/>
        <w:gridCol w:w="100"/>
      </w:tblGrid>
      <w:tr>
        <w:tc>
          <w:tcPr>
            <w:tcW w:type="pct" w:w="30%"/>
          </w:tcPr>
          <w:p>
            <w:r>
              <w:rPr>
                <w:rFonts w:ascii="Georgia" w:cs="Georgia" w:eastAsia="Georgia" w:hAnsi="Georgia"/>
                <w:b/>
                <w:bCs/>
                <w:sz w:val="22"/>
                <w:szCs w:val="22"/>
              </w:rPr>
              <w:t xml:space="preserve">Kandidatin:</w:t>
            </w:r>
          </w:p>
        </w:tc>
        <w:tc>
          <w:tcPr>
            <w:tcW w:type="pct" w:w="70%"/>
          </w:tcPr>
          <w:p>
            <w:r>
              <w:rPr>
                <w:rFonts w:ascii="Georgia" w:cs="Georgia" w:eastAsia="Georgia" w:hAnsi="Georgia"/>
                <w:sz w:val="22"/>
                <w:szCs w:val="22"/>
              </w:rPr>
              <w:t xml:space="preserve">Dr. Aroob Alrawashdeh, Fachärztin für Radiologie</w:t>
            </w:r>
          </w:p>
        </w:tc>
      </w:tr>
      <w:tr>
        <w:tc>
          <w:p>
            <w:r>
              <w:rPr>
                <w:rFonts w:ascii="Georgia" w:cs="Georgia" w:eastAsia="Georgia" w:hAnsi="Georgia"/>
                <w:b/>
                <w:bCs/>
                <w:sz w:val="22"/>
                <w:szCs w:val="22"/>
              </w:rPr>
              <w:t xml:space="preserve">Betreuer:</w:t>
            </w:r>
          </w:p>
        </w:tc>
        <w:tc>
          <w:p>
            <w:r>
              <w:rPr>
                <w:rFonts w:ascii="Georgia" w:cs="Georgia" w:eastAsia="Georgia" w:hAnsi="Georgia"/>
                <w:sz w:val="22"/>
                <w:szCs w:val="22"/>
              </w:rPr>
              <w:t xml:space="preserve">Chefarzt einer deutschen Praxis für Gefäßmedizin (Facharzt für Radiologie)</w:t>
            </w:r>
          </w:p>
        </w:tc>
      </w:tr>
      <w:tr>
        <w:tc>
          <w:p>
            <w:r>
              <w:rPr>
                <w:rFonts w:ascii="Georgia" w:cs="Georgia" w:eastAsia="Georgia" w:hAnsi="Georgia"/>
                <w:b/>
                <w:bCs/>
                <w:sz w:val="22"/>
                <w:szCs w:val="22"/>
              </w:rPr>
              <w:t xml:space="preserve">Technische Leitung:</w:t>
            </w:r>
          </w:p>
        </w:tc>
        <w:tc>
          <w:p>
            <w:r>
              <w:rPr>
                <w:rFonts w:ascii="Georgia" w:cs="Georgia" w:eastAsia="Georgia" w:hAnsi="Georgia"/>
                <w:sz w:val="22"/>
                <w:szCs w:val="22"/>
              </w:rPr>
              <w:t xml:space="preserve">Laith Alshdaifat (Medizintechnik, HAW Hamburg)</w:t>
            </w:r>
          </w:p>
        </w:tc>
      </w:tr>
      <w:tr>
        <w:tc>
          <w:p>
            <w:r>
              <w:rPr>
                <w:rFonts w:ascii="Georgia" w:cs="Georgia" w:eastAsia="Georgia" w:hAnsi="Georgia"/>
                <w:b/>
                <w:bCs/>
                <w:sz w:val="22"/>
                <w:szCs w:val="22"/>
              </w:rPr>
              <w:t xml:space="preserve">Wissenschaftliche Beratung:</w:t>
            </w:r>
          </w:p>
        </w:tc>
        <w:tc>
          <w:p>
            <w:r>
              <w:rPr>
                <w:rFonts w:ascii="Georgia" w:cs="Georgia" w:eastAsia="Georgia" w:hAnsi="Georgia"/>
                <w:sz w:val="22"/>
                <w:szCs w:val="22"/>
              </w:rPr>
              <w:t xml:space="preserve">Prof. Dr. Petra Margaritoff (DIN EN 62304, Medical ML), Prof. Dr. Boris Tolg (SIMLab, VR in Medicine), Prof. Dr. Udo van Stevendaal (Medical Devices)</w:t>
            </w:r>
          </w:p>
        </w:tc>
      </w:tr>
      <w:tr>
        <w:tc>
          <w:p>
            <w:r>
              <w:rPr>
                <w:rFonts w:ascii="Georgia" w:cs="Georgia" w:eastAsia="Georgia" w:hAnsi="Georgia"/>
                <w:b/>
                <w:bCs/>
                <w:sz w:val="22"/>
                <w:szCs w:val="22"/>
              </w:rPr>
              <w:t xml:space="preserve">Datum:</w:t>
            </w:r>
          </w:p>
        </w:tc>
        <w:tc>
          <w:p>
            <w:r>
              <w:rPr>
                <w:rFonts w:ascii="Georgia" w:cs="Georgia" w:eastAsia="Georgia" w:hAnsi="Georgia"/>
                <w:sz w:val="22"/>
                <w:szCs w:val="22"/>
              </w:rPr>
              <w:t xml:space="preserve">25. April 2026</w:t>
            </w:r>
          </w:p>
        </w:tc>
      </w:tr>
    </w:tbl>
    <w:p>
      <w:pPr>
        <w:spacing w:after="480"/>
      </w:pPr>
    </w:p>
    <w:p>
      <w:pPr>
        <w:spacing w:after="360"/>
      </w:pPr>
      <w:r>
        <w:rPr>
          <w:rFonts w:ascii="Georgia" w:cs="Georgia" w:eastAsia="Georgia" w:hAnsi="Georgia"/>
          <w:b/>
          <w:bCs/>
          <w:color w:val="1a1a1a"/>
          <w:sz w:val="26"/>
          <w:szCs w:val="26"/>
        </w:rPr>
        <w:t xml:space="preserve">1. PROBLEMSTELLUNG UND KLINISCHE RELEVANZ</w:t>
      </w:r>
    </w:p>
    <w:p>
      <w:pPr>
        <w:spacing w:after="280" w:line="276"/>
        <w:jc w:val="both"/>
      </w:pPr>
      <w:r>
        <w:rPr>
          <w:rFonts w:ascii="Georgia" w:cs="Georgia" w:eastAsia="Georgia" w:hAnsi="Georgia"/>
          <w:color w:val="333333"/>
          <w:sz w:val="22"/>
          <w:szCs w:val="22"/>
        </w:rPr>
        <w:t xml:space="preserve">Die sonographische Graduierung von Carotisstenosen weist eine erhebliche Inter-Observer-Variabilität von 15-30% auf, was zu inkonsistenten Therapieentscheidungen führt. Aktuelle Klassifikationssysteme (NASCET, ECST) fokussieren primär auf prozentuale Stenosegrade, vernachlässigen jedoch kritische Plaque-Vulnerability-Marker wie intraplaque hemorrhage, thin fibrous cap und lipid-rich necrotic core. Diese Limitationen resultieren in suboptimaler Risikostratifizierung und verzögerter Intervention bei vulnerablen Plaques.</w:t>
      </w:r>
    </w:p>
    <w:p>
      <w:pPr>
        <w:spacing w:after="480" w:line="276"/>
        <w:jc w:val="both"/>
      </w:pPr>
      <w:r>
        <w:rPr>
          <w:rFonts w:ascii="Georgia" w:cs="Georgia" w:eastAsia="Georgia" w:hAnsi="Georgia"/>
          <w:color w:val="333333"/>
          <w:sz w:val="22"/>
          <w:szCs w:val="22"/>
        </w:rPr>
        <w:t xml:space="preserve">Bestehende KI-Systeme in der Gefäßdiagnostik operieren überwiegend cloud-basiert, was DSGVO-Compliance erschwert und Datensouveränität gefährdet. Zudem mangelt es an Explainable AI (XAI)-Funktionalitäten, die für die klinische Akzeptanz und regulatorische Zulassung nach EU AI Act essentiell sind. Die fehlende transnationale Validierung limitiert die Generalisierbarkeit bestehender Algorithmen auf diverse Patientenpopulationen.</w:t>
      </w:r>
    </w:p>
    <w:p>
      <w:pPr>
        <w:spacing w:after="360"/>
      </w:pPr>
      <w:r>
        <w:rPr>
          <w:rFonts w:ascii="Georgia" w:cs="Georgia" w:eastAsia="Georgia" w:hAnsi="Georgia"/>
          <w:b/>
          <w:bCs/>
          <w:color w:val="1a1a1a"/>
          <w:sz w:val="26"/>
          <w:szCs w:val="26"/>
        </w:rPr>
        <w:t xml:space="preserve">2. ZENTRALE FORSCHUNGSFRAGE</w:t>
      </w:r>
    </w:p>
    <w:p>
      <w:pPr>
        <w:spacing w:after="480" w:line="276"/>
        <w:jc w:val="both"/>
      </w:pPr>
      <w:r>
        <w:rPr>
          <w:rFonts w:ascii="Georgia" w:cs="Georgia" w:eastAsia="Georgia" w:hAnsi="Georgia"/>
          <w:b/>
          <w:bCs/>
          <w:i/>
          <w:iCs/>
          <w:color w:val="1a1a1a"/>
          <w:sz w:val="24"/>
          <w:szCs w:val="24"/>
        </w:rPr>
        <w:t xml:space="preserve">Inwiefern kann ein lokal betriebenes, erklärbares MFSD-UNet-basiertes System die Inter-Observer-Variabilität bei der sonographischen Stenosegraduierung reduzieren und vulnerable Plaques zuverlässiger identifizieren als konventionelle Methoden?</w:t>
      </w:r>
    </w:p>
    <w:p>
      <w:pPr>
        <w:spacing w:after="360"/>
      </w:pPr>
      <w:r>
        <w:rPr>
          <w:rFonts w:ascii="Georgia" w:cs="Georgia" w:eastAsia="Georgia" w:hAnsi="Georgia"/>
          <w:b/>
          <w:bCs/>
          <w:color w:val="1a1a1a"/>
          <w:sz w:val="26"/>
          <w:szCs w:val="26"/>
        </w:rPr>
        <w:t xml:space="preserve">3. ZIELSETZUNG UND INNOVATION</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Technische Entwicklung: Implementierung einer MFSD-UNet-Architektur mit Swin Transformer und Deep Supervision für präzise Gefäßsegmentierung (Ziel: Dice Coefficient &gt;0,91)</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XAI-Integration: Entwicklung von Grad-CAM Heatmaps zur transparenten Visualisierung der KI-Entscheidungsfindung für klinische Akzeptanz</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MDR-Konformität: Entwicklung eines Class IIa/IIb-konformen Medical Device Software nach DIN EN 62304 und EU AI Act Compliance</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Transnationale Validierung: Prospektive Validierung in Deutschland und Jordanien zur Demonstration der Generalisierbarkeit (n=500+)</w:t>
      </w:r>
    </w:p>
    <w:p>
      <w:pPr>
        <w:spacing w:after="48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Klinische Implementierung: Local-First Edge AI-Deployment mit Human-in-the-Loop Interface für praxistaugliche Integration</w:t>
      </w:r>
    </w:p>
    <w:p>
      <w:pPr>
        <w:spacing w:after="360"/>
      </w:pPr>
      <w:r>
        <w:rPr>
          <w:rFonts w:ascii="Georgia" w:cs="Georgia" w:eastAsia="Georgia" w:hAnsi="Georgia"/>
          <w:b/>
          <w:bCs/>
          <w:color w:val="1a1a1a"/>
          <w:sz w:val="26"/>
          <w:szCs w:val="26"/>
        </w:rPr>
        <w:t xml:space="preserve">4. METHODISCHES VORGEHEN</w:t>
      </w:r>
    </w:p>
    <w:tbl>
      <w:tblPr>
        <w:tblW w:type="pct" w:w="100%"/>
        <w:tblBorders>
          <w:top w:val="single" w:color="333333" w:sz="6"/>
          <w:left w:val="single" w:color="333333" w:sz="6"/>
          <w:bottom w:val="single" w:color="333333" w:sz="6"/>
          <w:right w:val="single" w:color="333333" w:sz="6"/>
          <w:insideH w:val="single" w:color="CCCCCC" w:sz="3"/>
          <w:insideV w:val="single" w:color="CCCCCC" w:sz="3"/>
        </w:tblBorders>
      </w:tblPr>
      <w:tblGrid>
        <w:gridCol w:w="100"/>
        <w:gridCol w:w="100"/>
        <w:gridCol w:w="100"/>
      </w:tblGrid>
      <w:tr>
        <w:tc>
          <w:tcPr>
            <w:tcW w:type="pct" w:w="15%"/>
            <w:shd w:fill="F5F5F5"/>
          </w:tcPr>
          <w:p>
            <w:pPr>
              <w:jc w:val="center"/>
            </w:pPr>
            <w:r>
              <w:rPr>
                <w:rFonts w:ascii="Georgia" w:cs="Georgia" w:eastAsia="Georgia" w:hAnsi="Georgia"/>
                <w:b/>
                <w:bCs/>
                <w:sz w:val="20"/>
                <w:szCs w:val="20"/>
              </w:rPr>
              <w:t xml:space="preserve">Milestone</w:t>
            </w:r>
          </w:p>
        </w:tc>
        <w:tc>
          <w:tcPr>
            <w:tcW w:type="pct" w:w="25%"/>
            <w:shd w:fill="F5F5F5"/>
          </w:tcPr>
          <w:p>
            <w:pPr>
              <w:jc w:val="center"/>
            </w:pPr>
            <w:r>
              <w:rPr>
                <w:rFonts w:ascii="Georgia" w:cs="Georgia" w:eastAsia="Georgia" w:hAnsi="Georgia"/>
                <w:b/>
                <w:bCs/>
                <w:sz w:val="20"/>
                <w:szCs w:val="20"/>
              </w:rPr>
              <w:t xml:space="preserve">Phase</w:t>
            </w:r>
          </w:p>
        </w:tc>
        <w:tc>
          <w:tcPr>
            <w:tcW w:type="pct" w:w="60%"/>
            <w:shd w:fill="F5F5F5"/>
          </w:tcPr>
          <w:p>
            <w:pPr>
              <w:jc w:val="center"/>
            </w:pPr>
            <w:r>
              <w:rPr>
                <w:rFonts w:ascii="Georgia" w:cs="Georgia" w:eastAsia="Georgia" w:hAnsi="Georgia"/>
                <w:b/>
                <w:bCs/>
                <w:sz w:val="20"/>
                <w:szCs w:val="20"/>
              </w:rPr>
              <w:t xml:space="preserve">Beschreibung</w:t>
            </w:r>
          </w:p>
        </w:tc>
      </w:tr>
      <w:tr>
        <w:tc>
          <w:p>
            <w:pPr>
              <w:jc w:val="center"/>
            </w:pPr>
            <w:r>
              <w:rPr>
                <w:rFonts w:ascii="Georgia" w:cs="Georgia" w:eastAsia="Georgia" w:hAnsi="Georgia"/>
                <w:b/>
                <w:bCs/>
                <w:sz w:val="20"/>
                <w:szCs w:val="20"/>
              </w:rPr>
              <w:t xml:space="preserve">M1</w:t>
            </w:r>
          </w:p>
        </w:tc>
        <w:tc>
          <w:p>
            <w:r>
              <w:rPr>
                <w:rFonts w:ascii="Georgia" w:cs="Georgia" w:eastAsia="Georgia" w:hAnsi="Georgia"/>
                <w:b/>
                <w:bCs/>
                <w:sz w:val="18"/>
                <w:szCs w:val="18"/>
              </w:rPr>
              <w:t xml:space="preserve">Literaturrecherche &amp; Ethikvotum</w:t>
            </w:r>
          </w:p>
        </w:tc>
        <w:tc>
          <w:p>
            <w:r>
              <w:rPr>
                <w:rFonts w:ascii="Georgia" w:cs="Georgia" w:eastAsia="Georgia" w:hAnsi="Georgia"/>
                <w:sz w:val="18"/>
                <w:szCs w:val="18"/>
              </w:rPr>
              <w:t xml:space="preserve">Systematische Literaturanalyse zu MFSD-UNet, Plaque-Vulnerability und EU AI Act. Ethikantrag bei Ärztekammer und IRB Sarah Specialty Hospital.</w:t>
            </w:r>
          </w:p>
        </w:tc>
      </w:tr>
      <w:tr>
        <w:tc>
          <w:p>
            <w:pPr>
              <w:jc w:val="center"/>
            </w:pPr>
            <w:r>
              <w:rPr>
                <w:rFonts w:ascii="Georgia" w:cs="Georgia" w:eastAsia="Georgia" w:hAnsi="Georgia"/>
                <w:b/>
                <w:bCs/>
                <w:sz w:val="20"/>
                <w:szCs w:val="20"/>
              </w:rPr>
              <w:t xml:space="preserve">M2</w:t>
            </w:r>
          </w:p>
        </w:tc>
        <w:tc>
          <w:p>
            <w:r>
              <w:rPr>
                <w:rFonts w:ascii="Georgia" w:cs="Georgia" w:eastAsia="Georgia" w:hAnsi="Georgia"/>
                <w:b/>
                <w:bCs/>
                <w:sz w:val="18"/>
                <w:szCs w:val="18"/>
              </w:rPr>
              <w:t xml:space="preserve">Datenakquise</w:t>
            </w:r>
          </w:p>
        </w:tc>
        <w:tc>
          <w:p>
            <w:r>
              <w:rPr>
                <w:rFonts w:ascii="Georgia" w:cs="Georgia" w:eastAsia="Georgia" w:hAnsi="Georgia"/>
                <w:sz w:val="18"/>
                <w:szCs w:val="18"/>
              </w:rPr>
              <w:t xml:space="preserve">Retrospektive Datensammlung Deutschland (n=300), prospektive Akquise Jordanien (n=200+). DICOM PS 3.15 De-Identification, anonymisierte Datensätze.</w:t>
            </w:r>
          </w:p>
        </w:tc>
      </w:tr>
      <w:tr>
        <w:tc>
          <w:p>
            <w:pPr>
              <w:jc w:val="center"/>
            </w:pPr>
            <w:r>
              <w:rPr>
                <w:rFonts w:ascii="Georgia" w:cs="Georgia" w:eastAsia="Georgia" w:hAnsi="Georgia"/>
                <w:b/>
                <w:bCs/>
                <w:sz w:val="20"/>
                <w:szCs w:val="20"/>
              </w:rPr>
              <w:t xml:space="preserve">M3</w:t>
            </w:r>
          </w:p>
        </w:tc>
        <w:tc>
          <w:p>
            <w:r>
              <w:rPr>
                <w:rFonts w:ascii="Georgia" w:cs="Georgia" w:eastAsia="Georgia" w:hAnsi="Georgia"/>
                <w:b/>
                <w:bCs/>
                <w:sz w:val="18"/>
                <w:szCs w:val="18"/>
              </w:rPr>
              <w:t xml:space="preserve">Modellentwicklung</w:t>
            </w:r>
          </w:p>
        </w:tc>
        <w:tc>
          <w:p>
            <w:r>
              <w:rPr>
                <w:rFonts w:ascii="Georgia" w:cs="Georgia" w:eastAsia="Georgia" w:hAnsi="Georgia"/>
                <w:sz w:val="18"/>
                <w:szCs w:val="18"/>
              </w:rPr>
              <w:t xml:space="preserve">MFSD-UNet Fine-Tuning mit Swin Transformer, Grad-CAM Integration, ONNX-Export für Edge Deployment, Entwicklung .exe/.dmg Batch-Processing Interface.</w:t>
            </w:r>
          </w:p>
        </w:tc>
      </w:tr>
      <w:tr>
        <w:tc>
          <w:p>
            <w:pPr>
              <w:jc w:val="center"/>
            </w:pPr>
            <w:r>
              <w:rPr>
                <w:rFonts w:ascii="Georgia" w:cs="Georgia" w:eastAsia="Georgia" w:hAnsi="Georgia"/>
                <w:b/>
                <w:bCs/>
                <w:sz w:val="20"/>
                <w:szCs w:val="20"/>
              </w:rPr>
              <w:t xml:space="preserve">M4</w:t>
            </w:r>
          </w:p>
        </w:tc>
        <w:tc>
          <w:p>
            <w:r>
              <w:rPr>
                <w:rFonts w:ascii="Georgia" w:cs="Georgia" w:eastAsia="Georgia" w:hAnsi="Georgia"/>
                <w:b/>
                <w:bCs/>
                <w:sz w:val="18"/>
                <w:szCs w:val="18"/>
              </w:rPr>
              <w:t xml:space="preserve">Klinische Validierung</w:t>
            </w:r>
          </w:p>
        </w:tc>
        <w:tc>
          <w:p>
            <w:r>
              <w:rPr>
                <w:rFonts w:ascii="Georgia" w:cs="Georgia" w:eastAsia="Georgia" w:hAnsi="Georgia"/>
                <w:sz w:val="18"/>
                <w:szCs w:val="18"/>
              </w:rPr>
              <w:t xml:space="preserve">Prospektive Validierung: Sensitivity, Specificity, Dice Coefficient vs. Expert Consensus Ground Truth. Inter-Observer-Variabilität Reduktion Messung.</w:t>
            </w:r>
          </w:p>
        </w:tc>
      </w:tr>
      <w:tr>
        <w:tc>
          <w:p>
            <w:pPr>
              <w:jc w:val="center"/>
            </w:pPr>
            <w:r>
              <w:rPr>
                <w:rFonts w:ascii="Georgia" w:cs="Georgia" w:eastAsia="Georgia" w:hAnsi="Georgia"/>
                <w:b/>
                <w:bCs/>
                <w:sz w:val="20"/>
                <w:szCs w:val="20"/>
              </w:rPr>
              <w:t xml:space="preserve">M5</w:t>
            </w:r>
          </w:p>
        </w:tc>
        <w:tc>
          <w:p>
            <w:r>
              <w:rPr>
                <w:rFonts w:ascii="Georgia" w:cs="Georgia" w:eastAsia="Georgia" w:hAnsi="Georgia"/>
                <w:b/>
                <w:bCs/>
                <w:sz w:val="18"/>
                <w:szCs w:val="18"/>
              </w:rPr>
              <w:t xml:space="preserve">Thesis &amp; Publikation</w:t>
            </w:r>
          </w:p>
        </w:tc>
        <w:tc>
          <w:p>
            <w:r>
              <w:rPr>
                <w:rFonts w:ascii="Georgia" w:cs="Georgia" w:eastAsia="Georgia" w:hAnsi="Georgia"/>
                <w:sz w:val="18"/>
                <w:szCs w:val="18"/>
              </w:rPr>
              <w:t xml:space="preserve">Dissertationsschrift, First-Author Paper Submission an Radiology oder Journal of NeuroInterventional Surgery, Konferenzpräsentationen.</w:t>
            </w:r>
          </w:p>
        </w:tc>
      </w:tr>
    </w:tbl>
    <w:p>
      <w:pPr>
        <w:spacing w:after="480"/>
      </w:pPr>
    </w:p>
    <w:p>
      <w:pPr>
        <w:spacing w:after="360"/>
      </w:pPr>
      <w:r>
        <w:rPr>
          <w:rFonts w:ascii="Georgia" w:cs="Georgia" w:eastAsia="Georgia" w:hAnsi="Georgia"/>
          <w:b/>
          <w:bCs/>
          <w:color w:val="1a1a1a"/>
          <w:sz w:val="26"/>
          <w:szCs w:val="26"/>
        </w:rPr>
        <w:t xml:space="preserve">5. WISSENSCHAFTLICHE INNOVATION UND KLINISCHE RELEVANZ</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Erstmalige Anwendung der MFSD-UNet-Architektur in der Carotis-Diagnostik: Kombination aus U-Net, Swin Transformer und Deep Supervision erreicht State-of-the-Art Performance (Dice Coefficient 0,9119, Sensitivity 0,9924)</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Plaque Motion Biomarker: Systolic retractive motion analysis zur Identifikation vulnerabler Plaques (80% identification rate) - neuartiger diagnostischer Ansatz jenseits konventioneller Stenosegraduierung</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Local-First + EU AI Act Compliance: Erste vollständig DSGVO-konforme, lokal betriebene KI-Lösung in der Gefäßdiagnostik mit proaktiver High-Risk AI System Implementierung</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Transnationale Validierungspipeline: Deutschland-Jordanien Kooperation demonstriert Generalisierbarkeit auf diverse Patientenpopulationen und Ultraschallsysteme</w:t>
      </w:r>
    </w:p>
    <w:p>
      <w:pPr>
        <w:spacing w:after="48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Human-in-the-Loop Interface: Explainable AI mit Grad-CAM Heatmaps ermöglicht transparente KI-Assistenz ohne Ersatz ärztlicher Expertise - optimale Balance zwischen Automatisierung und klinischer Kontrolle</w:t>
      </w:r>
    </w:p>
    <w:p>
      <w:pPr>
        <w:spacing w:after="360"/>
      </w:pPr>
      <w:r>
        <w:rPr>
          <w:rFonts w:ascii="Georgia" w:cs="Georgia" w:eastAsia="Georgia" w:hAnsi="Georgia"/>
          <w:b/>
          <w:bCs/>
          <w:color w:val="1a1a1a"/>
          <w:sz w:val="26"/>
          <w:szCs w:val="26"/>
        </w:rPr>
        <w:t xml:space="preserve">6. PRAKTISCHER NUTZEN FÜR DIE KLINISCHE PRAXIS</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Standardisierte Befundung: Reduktion der Inter-Observer-Variabilität von 15-30% auf &lt;5%, konsistente Stenosegraduierung unabhängig vom Untersucher</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Effizienzsteigerung: Reduktion der Befundungszeit um 20-30% durch automatisierte Segmentierung und Stenosegraduierung, mehr Zeit für Patientenbetreuung</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DSGVO-Sicherheit: 100% lokale Datenverarbeitung ohne Cloud-Übertragung, vollständige Datensouveränität und Compliance mit deutschen Datenschutzbestimmungen</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Wettbewerbsvorteil: Positionierung als erste KI-gestützte Gefäßdiagnostik-Praxis der Region, Technologieführerschaft im Marketing und Patientenakquise</w:t>
      </w:r>
    </w:p>
    <w:p>
      <w:pPr>
        <w:spacing w:after="48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Rechtssichere Dokumentation: MDR-konforme Software mit Audit-Trail und Explainable AI-Funktionen für nachvollziehbare Befundung und Haftungsschutz</w:t>
      </w:r>
    </w:p>
    <w:p>
      <w:pPr>
        <w:spacing w:after="360"/>
      </w:pPr>
      <w:r>
        <w:rPr>
          <w:rFonts w:ascii="Georgia" w:cs="Georgia" w:eastAsia="Georgia" w:hAnsi="Georgia"/>
          <w:b/>
          <w:bCs/>
          <w:color w:val="1a1a1a"/>
          <w:sz w:val="26"/>
          <w:szCs w:val="26"/>
        </w:rPr>
        <w:t xml:space="preserve">7. ETHIK UND DATENSCHUTZ</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Ethikantrag: Genehmigung durch Ärztekammer Deutschland und IRB Sarah Specialty Hospital Jordanien vor Studienbeginn</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DICOM PS 3.15 De-Identification: Vollständige Anonymisierung aller Bilddaten, keine Personenidentifizierbaren Informationen (PII) im Trainingsdatensatz</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Informed Consent: Schriftliche Patienteneinwilligung für Studienteilnahme und anonymisierte Datenverwendung in beiden Ländern</w:t>
      </w:r>
    </w:p>
    <w:p>
      <w:pPr>
        <w:spacing w:after="20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Privacy by Design: Keine Cloud-Übertragung, lokale Datenverarbeitung, verschlüsselte Datenspeicherung nach DSGVO Art. 25</w:t>
      </w:r>
    </w:p>
    <w:p>
      <w:pPr>
        <w:spacing w:after="480" w:line="276"/>
        <w:jc w:val="both"/>
      </w:pPr>
      <w:r>
        <w:rPr>
          <w:rFonts w:ascii="Georgia" w:cs="Georgia" w:eastAsia="Georgia" w:hAnsi="Georgia"/>
          <w:b/>
          <w:bCs/>
          <w:sz w:val="22"/>
          <w:szCs w:val="22"/>
        </w:rPr>
        <w:t xml:space="preserve">• </w:t>
      </w:r>
      <w:r>
        <w:rPr>
          <w:rFonts w:ascii="Georgia" w:cs="Georgia" w:eastAsia="Georgia" w:hAnsi="Georgia"/>
          <w:color w:val="333333"/>
          <w:sz w:val="22"/>
          <w:szCs w:val="22"/>
        </w:rPr>
        <w:t xml:space="preserve">Audit-Trail: Vollständige Dokumentation aller KI-Entscheidungen mit Grad-CAM Visualisierung für Nachvollziehbarkeit und regulatorische Compliance</w:t>
      </w:r>
    </w:p>
    <w:p>
      <w:pPr>
        <w:spacing w:after="360"/>
      </w:pPr>
      <w:r>
        <w:rPr>
          <w:rFonts w:ascii="Georgia" w:cs="Georgia" w:eastAsia="Georgia" w:hAnsi="Georgia"/>
          <w:b/>
          <w:bCs/>
          <w:color w:val="1a1a1a"/>
          <w:sz w:val="26"/>
          <w:szCs w:val="26"/>
        </w:rPr>
        <w:t xml:space="preserve">8. PUBLIKATIONSSTRATEGIE UND WISSENSCHAFTLICHER IMPACT</w:t>
      </w:r>
    </w:p>
    <w:p>
      <w:pPr>
        <w:spacing w:after="280" w:line="276"/>
        <w:jc w:val="both"/>
      </w:pPr>
      <w:r>
        <w:rPr>
          <w:rFonts w:ascii="Georgia" w:cs="Georgia" w:eastAsia="Georgia" w:hAnsi="Georgia"/>
          <w:color w:val="333333"/>
          <w:sz w:val="22"/>
          <w:szCs w:val="22"/>
        </w:rPr>
        <w:t xml:space="preserve">Das Projekt bietet außergewöhnliches Publikationspotenzial durch die Kombination aus technischer Innovation, regulatorischer Pionierarbeit und transnationaler Validierung. Zieljournals umfassen </w:t>
      </w:r>
      <w:r>
        <w:rPr>
          <w:rFonts w:ascii="Georgia" w:cs="Georgia" w:eastAsia="Georgia" w:hAnsi="Georgia"/>
          <w:i/>
          <w:iCs/>
          <w:color w:val="333333"/>
          <w:sz w:val="22"/>
          <w:szCs w:val="22"/>
        </w:rPr>
        <w:t xml:space="preserve">Radiology</w:t>
      </w:r>
      <w:r>
        <w:rPr>
          <w:rFonts w:ascii="Georgia" w:cs="Georgia" w:eastAsia="Georgia" w:hAnsi="Georgia"/>
          <w:color w:val="333333"/>
          <w:sz w:val="22"/>
          <w:szCs w:val="22"/>
        </w:rPr>
        <w:t xml:space="preserve"> (Impact Factor 29.1), </w:t>
      </w:r>
      <w:r>
        <w:rPr>
          <w:rFonts w:ascii="Georgia" w:cs="Georgia" w:eastAsia="Georgia" w:hAnsi="Georgia"/>
          <w:i/>
          <w:iCs/>
          <w:color w:val="333333"/>
          <w:sz w:val="22"/>
          <w:szCs w:val="22"/>
        </w:rPr>
        <w:t xml:space="preserve">Journal of NeuroInterventional Surgery</w:t>
      </w:r>
      <w:r>
        <w:rPr>
          <w:rFonts w:ascii="Georgia" w:cs="Georgia" w:eastAsia="Georgia" w:hAnsi="Georgia"/>
          <w:color w:val="333333"/>
          <w:sz w:val="22"/>
          <w:szCs w:val="22"/>
        </w:rPr>
        <w:t xml:space="preserve"> (Impact Factor 4.8), </w:t>
      </w:r>
      <w:r>
        <w:rPr>
          <w:rFonts w:ascii="Georgia" w:cs="Georgia" w:eastAsia="Georgia" w:hAnsi="Georgia"/>
          <w:i/>
          <w:iCs/>
          <w:color w:val="333333"/>
          <w:sz w:val="22"/>
          <w:szCs w:val="22"/>
        </w:rPr>
        <w:t xml:space="preserve">European Radiology</w:t>
      </w:r>
      <w:r>
        <w:rPr>
          <w:rFonts w:ascii="Georgia" w:cs="Georgia" w:eastAsia="Georgia" w:hAnsi="Georgia"/>
          <w:color w:val="333333"/>
          <w:sz w:val="22"/>
          <w:szCs w:val="22"/>
        </w:rPr>
        <w:t xml:space="preserve"> (Impact Factor 7.0) und </w:t>
      </w:r>
      <w:r>
        <w:rPr>
          <w:rFonts w:ascii="Georgia" w:cs="Georgia" w:eastAsia="Georgia" w:hAnsi="Georgia"/>
          <w:i/>
          <w:iCs/>
          <w:color w:val="333333"/>
          <w:sz w:val="22"/>
          <w:szCs w:val="22"/>
        </w:rPr>
        <w:t xml:space="preserve">Gefäßchirurgie</w:t>
      </w:r>
      <w:r>
        <w:rPr>
          <w:rFonts w:ascii="Georgia" w:cs="Georgia" w:eastAsia="Georgia" w:hAnsi="Georgia"/>
          <w:color w:val="333333"/>
          <w:sz w:val="22"/>
          <w:szCs w:val="22"/>
        </w:rPr>
        <w:t xml:space="preserve"> für den deutschsprachigen Raum.</w:t>
      </w:r>
    </w:p>
    <w:p>
      <w:pPr>
        <w:spacing w:after="480" w:line="276"/>
        <w:jc w:val="both"/>
      </w:pPr>
      <w:r>
        <w:rPr>
          <w:rFonts w:ascii="Georgia" w:cs="Georgia" w:eastAsia="Georgia" w:hAnsi="Georgia"/>
          <w:color w:val="333333"/>
          <w:sz w:val="22"/>
          <w:szCs w:val="22"/>
        </w:rPr>
        <w:t xml:space="preserve">Die Einzigartigkeit liegt in der ersten Kombination aus MFSD-UNet-Architektur, transnationaler Validierung und EU AI Act-konformer Local-First-Implementierung in der Gefäßdiagnostik. Diese Konstellation ist bisher unpubliziert und bietet hohes Zitationspotenzial. Zusätzliche Publikationsmöglichkeiten ergeben sich durch Konferenzpräsentationen bei RSNA, ECR, ESMRMB und nationalen Radiologiekongressen.</w:t>
      </w:r>
    </w:p>
    <w:p>
      <w:pPr>
        <w:spacing w:after="360"/>
      </w:pPr>
      <w:r>
        <w:rPr>
          <w:rFonts w:ascii="Georgia" w:cs="Georgia" w:eastAsia="Georgia" w:hAnsi="Georgia"/>
          <w:b/>
          <w:bCs/>
          <w:color w:val="1a1a1a"/>
          <w:sz w:val="26"/>
          <w:szCs w:val="26"/>
        </w:rPr>
        <w:t xml:space="preserve">9. FINANZIERUNG UND RESSOURCEN</w:t>
      </w:r>
    </w:p>
    <w:p>
      <w:pPr>
        <w:spacing w:after="480" w:line="276"/>
        <w:jc w:val="both"/>
      </w:pPr>
      <w:r>
        <w:rPr>
          <w:rFonts w:ascii="Georgia" w:cs="Georgia" w:eastAsia="Georgia" w:hAnsi="Georgia"/>
          <w:color w:val="333333"/>
          <w:sz w:val="22"/>
          <w:szCs w:val="22"/>
        </w:rPr>
        <w:t xml:space="preserve">Die Projektfinanzierung erfolgt vollständig durch Eigenmittel und private Familieninvestition, ohne Belastung der Praxisfinanzen oder Abhängigkeit von Drittmitteln. Die technische Infrastruktur wird durch die HAW Hamburg bereitgestellt, die klinische Validierung läuft kostenneutral über bestehende Kooperationen. Hardware-Kosten für das Local-First Deployment sind minimal und amortisieren sich durch Effizienzgewinne binnen 12 Monaten.</w:t>
      </w:r>
    </w:p>
    <w:p>
      <w:pPr>
        <w:spacing w:after="360"/>
      </w:pPr>
      <w:r>
        <w:rPr>
          <w:rFonts w:ascii="Georgia" w:cs="Georgia" w:eastAsia="Georgia" w:hAnsi="Georgia"/>
          <w:b/>
          <w:bCs/>
          <w:color w:val="1a1a1a"/>
          <w:sz w:val="26"/>
          <w:szCs w:val="26"/>
        </w:rPr>
        <w:t xml:space="preserve">FAZIT UND AUSBLICK</w:t>
      </w:r>
    </w:p>
    <w:p>
      <w:pPr>
        <w:spacing w:after="480" w:line="276"/>
        <w:jc w:val="both"/>
      </w:pPr>
      <w:r>
        <w:rPr>
          <w:rFonts w:ascii="Georgia" w:cs="Georgia" w:eastAsia="Georgia" w:hAnsi="Georgia"/>
          <w:color w:val="333333"/>
          <w:sz w:val="22"/>
          <w:szCs w:val="22"/>
        </w:rPr>
        <w:t xml:space="preserve">Diese Dissertation positioniert die betreuende Praxis an der Spitze der medizinischen KI-Innovation und bietet einzigartige Vorteile: wissenschaftliche Exzellenz durch High-Impact Publikationen, wirtschaftlichen Mehrwert durch Effizienzsteigerung und Wettbewerbsvorteile, sowie regulatorische Pionierarbeit in der EU AI Act-Implementierung. Die Kombination aus MFSD-UNet-Innovation, transnationaler Validierung und Local-First-Architektur schafft ein Alleinstellungsmerkmal mit nachhaltiger Wirkung für Praxis, Wissenschaft und Patientenversorgung.</w:t>
      </w:r>
    </w:p>
    <w:p>
      <w:pPr>
        <w:pBdr>
          <w:top w:val="single" w:color="CCCCCC" w:sz="6"/>
        </w:pBdr>
        <w:spacing w:before="480" w:after="240"/>
      </w:pPr>
    </w:p>
    <w:p>
      <w:pPr>
        <w:jc w:val="center"/>
      </w:pPr>
      <w:r>
        <w:rPr>
          <w:rFonts w:ascii="Arial" w:cs="Arial" w:eastAsia="Arial" w:hAnsi="Arial"/>
          <w:color w:val="666666"/>
          <w:sz w:val="18"/>
          <w:szCs w:val="18"/>
        </w:rPr>
        <w:t xml:space="preserve">Dr. Aroob Alrawashdeh • Fachärztin für Radiologie • 25. April 2026</w:t>
      </w:r>
    </w:p>
    <w:sectPr>
      <w:pgSz w:w="11906" w:h="16838" w:orient="portrait"/>
      <w:pgMar w:top="108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2026-04-25T20:48:32.870Z</dcterms:created>
  <dcterms:modified xsi:type="dcterms:W3CDTF">2026-04-25T20:48:32.890Z</dcterms:modified>
</cp:coreProperties>
</file>

<file path=docProps/custom.xml><?xml version="1.0" encoding="utf-8"?>
<Properties xmlns="http://schemas.openxmlformats.org/officeDocument/2006/custom-properties" xmlns:vt="http://schemas.openxmlformats.org/officeDocument/2006/docPropsVTypes"/>
</file>