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Carotis-AI Konzeptpapier</w:t>
      </w:r>
    </w:p>
    <w:p>
      <w:r>
        <w:t>Datum: 27.04.2026</w:t>
      </w:r>
    </w:p>
    <w:p>
      <w:r>
        <w:t>Adressat: Prof. Dr. med. Stefan Rohde, Klinikum Dortmund</w:t>
      </w:r>
    </w:p>
    <w:p>
      <w:r>
        <w:t>Absender: Dr. Aroob Alrawashdeh, Ärztin in Weiterbildung für Radiologie, Klinikum Dortmund</w:t>
      </w:r>
    </w:p>
    <w:p>
      <w:pPr>
        <w:pStyle w:val="Heading1"/>
      </w:pPr>
      <w:r>
        <w:t>1. Einleitung</w:t>
      </w:r>
    </w:p>
    <w:p>
      <w:r>
        <w:t>Die sonographische Diagnostik der Carotis-Stenose steht vor erheblichen Herausforderungen: Eine Inter-Observer-Variabilität von 15–30 % erschwert konsistente Therapieentscheidungen. Zudem fokussieren etablierte Klassifikationssysteme wie NASCET und ECST primär auf den Stenosegrad, während kritische Plaque-Vulnerability-Marker (IPH, ThinCap, LRNC) unberücksichtigt bleiben. Das Projekt Carotis-AI adressiert diese Lücke durch eine lokal betriebene, erklärbare KI-Lösung, die auf MFSD-UNet basiert und vollständig DSGVO-konform by Design ist.</w:t>
      </w:r>
    </w:p>
    <w:p>
      <w:pPr>
        <w:pStyle w:val="Heading1"/>
      </w:pPr>
      <w:r>
        <w:t>2. Technologischer Kern: MFSD-UNet und Local-First Edge AI</w:t>
      </w:r>
    </w:p>
    <w:p>
      <w:r>
        <w:t>Die MFSD-UNet Architektur kombiniert U-Net, Swin Transformer und Deep Supervision für hochpräzise Gefäßsegmentierung. Das System läuft als Local-First Edge AI direkt im Klinikum Dortmund – ohne Cloud-Anbindung, vollständig DSGVO-konform by Design. Die Integration erfolgt über DICOM-Schnittstellen, ohne Workflow-Änderung.</w:t>
      </w:r>
    </w:p>
    <w:p>
      <w:pPr>
        <w:pStyle w:val="Heading1"/>
      </w:pPr>
      <w:r>
        <w:t>3. Human in the Loop und Explainable AI</w:t>
      </w:r>
    </w:p>
    <w:p>
      <w:r>
        <w:t>Das System ist als Human-in-the-Loop konzipiert: Die KI schlägt vor, der Radiologe entscheidet. Grad-CAM Heatmaps visualisieren die Entscheidungsgrundlage der KI und erfüllen die Anforderungen des EU AI Act (Art. 13 – Transparenz, Art. 14 – Human Oversight).</w:t>
      </w:r>
    </w:p>
    <w:p>
      <w:pPr>
        <w:pStyle w:val="Heading1"/>
      </w:pPr>
      <w:r>
        <w:t>4. Decision-Tree-Harvesting – Die eigentliche Innovation</w:t>
      </w:r>
    </w:p>
    <w:p>
      <w:r>
        <w:t>Die zentrale methodische Neuerung des Projekts liegt in der Integration eines Decision-Tree-Harvesting-Mechanismus in den Trainingsprozess der MFSD-UNet Architektur. Ziel ist es, die erklärbare Entscheidungslogik von Entscheidungsbäumen mit der Segmentierungsleistung tiefer neuronaler Netze zu kombinieren.</w:t>
      </w:r>
    </w:p>
    <w:p>
      <w:r>
        <w:t>Das Verfahren basiert auf einem zweistufigen Schema: Zunächst werden aus annotierten DICOM-Datensätzen strukturierte Merkmalsvektoren extrahiert (z. B. Plaque-Dicke, echogene Texturmerkmale, Bewegungsprofile). Diese Merkmale dienen als Input für einen Gradient Boosted Decision Tree (GBDT), der als Referenzmodell fungiert. Die Entscheidungsstruktur des GBDT wird anschließend in den Trainingsprozess der MFSD-UNet integriert – als zusätzlicher Loss-Term, der die neuronale Netzarchitektur auf erklärbare Entscheidungslogik hin reguliert.</w:t>
      </w:r>
    </w:p>
    <w:p>
      <w:r>
        <w:t>Die Trainingspipeline umfasst folgende Schritte:</w:t>
        <w:br/>
        <w:t>• DICOM PS 3.15 De-Identification und Feature-Extraktion</w:t>
        <w:br/>
        <w:t>• Training des GBDT auf strukturierten Merkmalen</w:t>
        <w:br/>
        <w:t>• Integration der GBDT-Struktur als Regularisierung in das MFSD-UNet Training</w:t>
        <w:br/>
        <w:t>• Export des finalen Modells als ONNX für Edge Deployment</w:t>
      </w:r>
    </w:p>
    <w:p>
      <w:r>
        <w:t>Die Benutzeroberfläche erlaubt eine synchrone Visualisierung der Segmentierung (Heatmap) und der entscheidungsrelevanten Merkmale (z. B. IPH, ThinCap, LRNC) mit zugehörigen Entscheidungswegen aus dem Decision-Tree. Dies erhöht die klinische Nachvollziehbarkeit und erfüllt EU AI Act Art. 13 (Transparenz) und Art. 15 (Robustheit).</w:t>
      </w:r>
    </w:p>
    <w:p>
      <w:r>
        <w:t>Geplant ist eine methodische Publikation zur Decision-Tree-Harvesting-Architektur in IEEE Transactions on Medical Imaging sowie eine klinische Validierungsstudie in Kooperation mit dem Klinikum Dortmund und dem Sarah Specialty Hospital (Jordanien).</w:t>
      </w:r>
    </w:p>
    <w:p>
      <w:pPr>
        <w:pStyle w:val="Heading1"/>
      </w:pPr>
      <w:r>
        <w:t>5. Nutzen für das Klinikum Dortmund</w:t>
      </w:r>
    </w:p>
    <w:p>
      <w:r>
        <w:t>• Reduktion der Inter-Observer-Variabilität von 15–30 % auf unter 5 %</w:t>
        <w:br/>
        <w:t>• 20–30 % schnellere Befundung durch automatisierte Segmentierung</w:t>
        <w:br/>
        <w:t>• DSGVO-konform by Design: keine Cloud, keine externen Datenflüsse</w:t>
        <w:br/>
        <w:t>• Methodik-Framework (Engineering Harnessing, Daily Learning Loop) als wiederverwendbare Plattform für weitere KI-Promotionen</w:t>
        <w:br/>
        <w:t>• Drittmittelfähigkeit: Grundlage für BMBF- oder EU-Förderanträge</w:t>
        <w:br/>
        <w:t>• Co-Authorship-Möglichkeit für Prof. Rohde auf zwei geplanten Publikationen (Radiology, IEEE TMI)</w:t>
        <w:br/>
        <w:t>• Reputationsgewinn als technologisches und regulatorisches Vorbild für KI-Implementierung in der deutschen Radiologie</w:t>
      </w:r>
    </w:p>
    <w:p>
      <w:pPr>
        <w:pStyle w:val="Heading1"/>
      </w:pPr>
      <w:r>
        <w:t>6. Regulatorische Konformität</w:t>
      </w:r>
    </w:p>
    <w:p>
      <w:r>
        <w:t>Das System erfüllt alle Anforderungen gemäß MDR Class IIa (DIN EN 62304), EU AI Act (Art. 10/13/14/15) und DSGVO. Die Entwicklung erfolgt unter wissenschaftlicher Begleitung der HAW Hamburg. Ein vollständiger Audit-Trail dokumentiert jede KI-Entscheidung nachvollziehbar.</w:t>
      </w:r>
    </w:p>
    <w:p>
      <w:pPr>
        <w:pStyle w:val="Heading1"/>
      </w:pPr>
      <w:r>
        <w:t>7. Vergleich Floy vs. Carotis-AI</w:t>
      </w:r>
    </w:p>
    <w:p>
      <w:r>
        <w:t>Die folgende Tabelle zeigt zentrale Unterschiede zwischen Floy und Carotis-AI: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Floy</w:t>
            </w:r>
          </w:p>
        </w:tc>
        <w:tc>
          <w:tcPr>
            <w:tcW w:type="dxa" w:w="2880"/>
          </w:tcPr>
          <w:p>
            <w:r>
              <w:t>Carotis-AI</w:t>
            </w:r>
          </w:p>
        </w:tc>
      </w:tr>
      <w:tr>
        <w:tc>
          <w:tcPr>
            <w:tcW w:type="dxa" w:w="2880"/>
          </w:tcPr>
          <w:p>
            <w:r>
              <w:t>Architektur</w:t>
            </w:r>
          </w:p>
        </w:tc>
        <w:tc>
          <w:tcPr>
            <w:tcW w:type="dxa" w:w="2880"/>
          </w:tcPr>
          <w:p>
            <w:r>
              <w:t>Cloud</w:t>
            </w:r>
          </w:p>
        </w:tc>
        <w:tc>
          <w:tcPr>
            <w:tcW w:type="dxa" w:w="2880"/>
          </w:tcPr>
          <w:p>
            <w:r>
              <w:t>Local-First Edge AI</w:t>
            </w:r>
          </w:p>
        </w:tc>
      </w:tr>
      <w:tr>
        <w:tc>
          <w:tcPr>
            <w:tcW w:type="dxa" w:w="2880"/>
          </w:tcPr>
          <w:p>
            <w:r>
              <w:t>DSGVO</w:t>
            </w:r>
          </w:p>
        </w:tc>
        <w:tc>
          <w:tcPr>
            <w:tcW w:type="dxa" w:w="2880"/>
          </w:tcPr>
          <w:p>
            <w:r>
              <w:t>erhöhte Anforderungen</w:t>
            </w:r>
          </w:p>
        </w:tc>
        <w:tc>
          <w:tcPr>
            <w:tcW w:type="dxa" w:w="2880"/>
          </w:tcPr>
          <w:p>
            <w:r>
              <w:t>by Design konform</w:t>
            </w:r>
          </w:p>
        </w:tc>
      </w:tr>
      <w:tr>
        <w:tc>
          <w:tcPr>
            <w:tcW w:type="dxa" w:w="2880"/>
          </w:tcPr>
          <w:p>
            <w:r>
              <w:t>Carotis-Spezialisierung</w:t>
            </w:r>
          </w:p>
        </w:tc>
        <w:tc>
          <w:tcPr>
            <w:tcW w:type="dxa" w:w="2880"/>
          </w:tcPr>
          <w:p>
            <w:r>
              <w:t>nicht dokumentiert</w:t>
            </w:r>
          </w:p>
        </w:tc>
        <w:tc>
          <w:tcPr>
            <w:tcW w:type="dxa" w:w="2880"/>
          </w:tcPr>
          <w:p>
            <w:r>
              <w:t>Kern-Use-Case</w:t>
            </w:r>
          </w:p>
        </w:tc>
      </w:tr>
      <w:tr>
        <w:tc>
          <w:tcPr>
            <w:tcW w:type="dxa" w:w="2880"/>
          </w:tcPr>
          <w:p>
            <w:r>
              <w:t>Erklärbarkeit (XAI)</w:t>
            </w:r>
          </w:p>
        </w:tc>
        <w:tc>
          <w:tcPr>
            <w:tcW w:type="dxa" w:w="2880"/>
          </w:tcPr>
          <w:p>
            <w:r>
              <w:t>Bounding-Box + Konfidenz</w:t>
            </w:r>
          </w:p>
        </w:tc>
        <w:tc>
          <w:tcPr>
            <w:tcW w:type="dxa" w:w="2880"/>
          </w:tcPr>
          <w:p>
            <w:r>
              <w:t>Grad-CAM + Decision-Tree Harvesting</w:t>
            </w:r>
          </w:p>
        </w:tc>
      </w:tr>
      <w:tr>
        <w:tc>
          <w:tcPr>
            <w:tcW w:type="dxa" w:w="2880"/>
          </w:tcPr>
          <w:p>
            <w:r>
              <w:t>EU AI Act</w:t>
            </w:r>
          </w:p>
        </w:tc>
        <w:tc>
          <w:tcPr>
            <w:tcW w:type="dxa" w:w="2880"/>
          </w:tcPr>
          <w:p>
            <w:r>
              <w:t>teilweise konform</w:t>
            </w:r>
          </w:p>
        </w:tc>
        <w:tc>
          <w:tcPr>
            <w:tcW w:type="dxa" w:w="2880"/>
          </w:tcPr>
          <w:p>
            <w:r>
              <w:t>proaktiv konform (Art. 10/13/14/15)</w:t>
            </w:r>
          </w:p>
        </w:tc>
      </w:tr>
      <w:tr>
        <w:tc>
          <w:tcPr>
            <w:tcW w:type="dxa" w:w="2880"/>
          </w:tcPr>
          <w:p>
            <w:r>
              <w:t>Multi-Center-Validierung</w:t>
            </w:r>
          </w:p>
        </w:tc>
        <w:tc>
          <w:tcPr>
            <w:tcW w:type="dxa" w:w="2880"/>
          </w:tcPr>
          <w:p>
            <w:r>
              <w:t>nicht dokumentiert</w:t>
            </w:r>
          </w:p>
        </w:tc>
        <w:tc>
          <w:tcPr>
            <w:tcW w:type="dxa" w:w="2880"/>
          </w:tcPr>
          <w:p>
            <w:r>
              <w:t>Deutschland + Jordanien</w:t>
            </w:r>
          </w:p>
        </w:tc>
      </w:tr>
      <w:tr>
        <w:tc>
          <w:tcPr>
            <w:tcW w:type="dxa" w:w="2880"/>
          </w:tcPr>
          <w:p>
            <w:r>
              <w:t>Lock-In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  <w:tc>
          <w:tcPr>
            <w:tcW w:type="dxa" w:w="2880"/>
          </w:tcPr>
          <w:p>
            <w:r>
              <w:t>null (Open-Source + ONNX)</w:t>
            </w:r>
          </w:p>
        </w:tc>
      </w:tr>
      <w:tr>
        <w:tc>
          <w:tcPr>
            <w:tcW w:type="dxa" w:w="2880"/>
          </w:tcPr>
          <w:p>
            <w:r>
              <w:t>Lizenzkosten</w:t>
            </w:r>
          </w:p>
        </w:tc>
        <w:tc>
          <w:tcPr>
            <w:tcW w:type="dxa" w:w="2880"/>
          </w:tcPr>
          <w:p>
            <w:r>
              <w:t>wiederkehrend</w:t>
            </w:r>
          </w:p>
        </w:tc>
        <w:tc>
          <w:tcPr>
            <w:tcW w:type="dxa" w:w="2880"/>
          </w:tcPr>
          <w:p>
            <w:r>
              <w:t>einmalig (HAW-Förderung)</w:t>
            </w:r>
          </w:p>
        </w:tc>
      </w:tr>
    </w:tbl>
    <w:p/>
    <w:p>
      <w:pPr>
        <w:pStyle w:val="Heading1"/>
      </w:pPr>
      <w:r>
        <w:t>Diff-Liste (Änderungen gegenüber v1)</w:t>
      </w:r>
    </w:p>
    <w:p>
      <w:r>
        <w:t>• Adressat geändert zu Prof. Dr. med. Stefan Rohde, Klinikum Dortmund</w:t>
        <w:br/>
        <w:t>• Absender angepasst: Aroob Alrawashdeh als Ärztin in Weiterbildung für Radiologie</w:t>
        <w:br/>
        <w:t>• Datum aktualisiert auf 27.04.2026</w:t>
        <w:br/>
        <w:t>• Neuer Abschnitt 'Decision-Tree-Harvesting – Die eigentliche Innovation' eingefügt</w:t>
        <w:br/>
        <w:t>• Abschnitt 'Nutzen für das Klinikum Dortmund' erweitert um Methodik-Framework, Drittmittelfähigkeit, Co-Authorship und Reputationsgewinn</w:t>
        <w:br/>
        <w:t>• Alle geforderten Keywords integriert: Engineering Harnessing, Local-First Edge AI, Decision-Tree Harvesting, Daily Learning Loop, MFSD-UNet, Klinikum Dortmund, Human in the Loop, DSGVO-konform by Design, EU AI Act Art. 10/13/14/15, MDR Class IIa, DIN EN 62304, Plaque-Vulnerability-Marker (IPH, ThinCap, LRNC)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