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787e3a201a94a8c" /><Relationship Type="http://schemas.openxmlformats.org/package/2006/relationships/metadata/core-properties" Target="/package/services/metadata/core-properties/adf6e093274f421ba231d1fe394c536f.psmdcp" Id="R6d67430d98894031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Tech_Description_Klinikum_v2</w:t>
      </w:r>
    </w:p>
    <w:p>
      <w:pPr>
        <w:pStyle w:val="heading1"/>
      </w:pPr>
      <w:bookmarkStart w:name="ki_gestützte_carotis_diagnostik_technische_projektbeschreibung" w:id="1"/>
      <w:r>
        <w:t>KI-gestützte Carotis-Diagnostik - Technische Projektbeschreibung</w:t>
      </w:r>
      <w:bookmarkEnd w:id="1"/>
    </w:p>
    <w:p>
      <w:r>
        <w:rPr>
          <w:b/>
        </w:rPr>
        <w:t>Für: Prof. Dr. med. Stefan Rohde, Direktor der Klinik für Radiologie und Neuroradiologie, Klinikum Dortmund</w:t>
      </w:r>
      <w:r>
        <w:br/>
      </w:r>
      <w:r>
        <w:rPr>
          <w:b/>
        </w:rPr>
        <w:t>Datum: 27. April 2026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_einleitung" w:id="2"/>
      <w:r>
        <w:t>1. Einleitung</w:t>
      </w:r>
      <w:bookmarkEnd w:id="2"/>
    </w:p>
    <w:p>
      <w:r>
        <w:t xml:space="preserve">Die sonographische Diagnostik der Carotis-Stenose leidet unter einer Inter-Observer-Variabilität von 15-30 %. Klassische Systeme wie NASCET und ECST fokussieren ausschließlich auf den Stenosegrad und ignorieren Plaque-Vulnerability-Marker (IPH, ThinCap, LRNC). Das Projekt </w:t>
      </w:r>
      <w:r>
        <w:rPr>
          <w:b/>
        </w:rPr>
        <w:t>Carotis-AI</w:t>
      </w:r>
      <w:r>
        <w:t xml:space="preserve"> adressiert diese Lücke durch ein lokal betriebenes, erklärbares KI-System (</w:t>
      </w:r>
      <w:r>
        <w:rPr>
          <w:b/>
        </w:rPr>
        <w:t>Local-First Edge AI</w:t>
      </w:r>
      <w:r>
        <w:t xml:space="preserve">), das vollständig </w:t>
      </w:r>
      <w:r>
        <w:rPr>
          <w:b/>
        </w:rPr>
        <w:t>DSGVO-konform by Design</w:t>
      </w:r>
      <w:r>
        <w:t xml:space="preserve"> ist und nach </w:t>
      </w:r>
      <w:r>
        <w:rPr>
          <w:b/>
        </w:rPr>
        <w:t>MDR Class IIa</w:t>
      </w:r>
      <w:r>
        <w:t xml:space="preserve"> sowie </w:t>
      </w:r>
      <w:r>
        <w:rPr>
          <w:b/>
        </w:rPr>
        <w:t>DIN EN 62304</w:t>
      </w:r>
      <w:r>
        <w:t xml:space="preserve"> entwickelt wird.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2_technologischer_kern_mfsd_unet" w:id="3"/>
      <w:r>
        <w:t>2. Technologischer Kern: MFSD-UNet</w:t>
      </w:r>
      <w:bookmarkEnd w:id="3"/>
    </w:p>
    <w:p>
      <w:r>
        <w:t xml:space="preserve">Die Modellarchitektur basiert auf </w:t>
      </w:r>
      <w:r>
        <w:rPr>
          <w:b/>
        </w:rPr>
        <w:t>MFSD-UNet</w:t>
      </w:r>
      <w:r>
        <w:t>, einer Kombination aus:</w:t>
      </w:r>
    </w:p>
    <w:p>
      <w:pPr>
        <w:pStyle w:val="ListParagraph"/>
        <w:numPr>
          <w:ilvl w:val="0"/>
          <w:numId w:val="1"/>
        </w:numPr>
      </w:pPr>
      <w:r>
        <w:t>U-Net (präzise Segmentierung)</w:t>
      </w:r>
    </w:p>
    <w:p>
      <w:pPr>
        <w:pStyle w:val="ListParagraph"/>
        <w:numPr>
          <w:ilvl w:val="0"/>
          <w:numId w:val="1"/>
        </w:numPr>
      </w:pPr>
      <w:r>
        <w:t>Swin Transformer (globale Kontextanalyse)</w:t>
      </w:r>
    </w:p>
    <w:p>
      <w:pPr>
        <w:pStyle w:val="ListParagraph"/>
        <w:numPr>
          <w:ilvl w:val="0"/>
          <w:numId w:val="1"/>
        </w:numPr>
      </w:pPr>
      <w:r>
        <w:t>Deep Supervision (mehrstufiges Lernen)</w:t>
      </w:r>
    </w:p>
    <w:p>
      <w:r>
        <w:t>Zielmetriken:</w:t>
      </w:r>
    </w:p>
    <w:p>
      <w:pPr>
        <w:pStyle w:val="ListParagraph"/>
        <w:numPr>
          <w:ilvl w:val="0"/>
          <w:numId w:val="2"/>
        </w:numPr>
      </w:pPr>
      <w:r>
        <w:t>Dice Coefficient ≥ 0,90</w:t>
      </w:r>
    </w:p>
    <w:p>
      <w:pPr>
        <w:pStyle w:val="ListParagraph"/>
        <w:numPr>
          <w:ilvl w:val="0"/>
          <w:numId w:val="2"/>
        </w:numPr>
      </w:pPr>
      <w:r>
        <w:t>Sensitivity ≥ 0,99</w:t>
      </w:r>
    </w:p>
    <w:p>
      <w:r>
        <w:t>Das Modell wird lokal im Klinikum Dortmund ausgeführt und exportiert als ONNX-Modell für Edge-Deployment.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3_explainable_ai_und_human_in_the_loop" w:id="4"/>
      <w:r>
        <w:t>3. Explainable AI und Human in the Loop</w:t>
      </w:r>
      <w:bookmarkEnd w:id="4"/>
    </w:p>
    <w:p>
      <w:r>
        <w:t xml:space="preserve">Das System ist als </w:t>
      </w:r>
      <w:r>
        <w:rPr>
          <w:b/>
        </w:rPr>
        <w:t>Human in the Loop</w:t>
      </w:r>
      <w:r>
        <w:t xml:space="preserve"> konzipiert:</w:t>
      </w:r>
    </w:p>
    <w:p>
      <w:pPr>
        <w:pStyle w:val="ListParagraph"/>
        <w:numPr>
          <w:ilvl w:val="0"/>
          <w:numId w:val="3"/>
        </w:numPr>
      </w:pPr>
      <w:r>
        <w:t>KI schlägt vor, Radiologe entscheidet.</w:t>
      </w:r>
    </w:p>
    <w:p>
      <w:pPr>
        <w:pStyle w:val="ListParagraph"/>
        <w:numPr>
          <w:ilvl w:val="0"/>
          <w:numId w:val="3"/>
        </w:numPr>
      </w:pPr>
      <w:r>
        <w:t>Grad-CAM-Heatmaps visualisieren die Entscheidungsgrundlage.</w:t>
      </w:r>
    </w:p>
    <w:p>
      <w:pPr>
        <w:pStyle w:val="ListParagraph"/>
        <w:numPr>
          <w:ilvl w:val="0"/>
          <w:numId w:val="3"/>
        </w:numPr>
      </w:pPr>
      <w:r>
        <w:t xml:space="preserve">Erfüllung von </w:t>
      </w:r>
      <w:r>
        <w:rPr>
          <w:b/>
        </w:rPr>
        <w:t>EU AI Act Art. 13/14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4_decision_tree_harvesting" w:id="5"/>
      <w:r>
        <w:t>4. Decision-Tree-Harvesting</w:t>
      </w:r>
      <w:bookmarkEnd w:id="5"/>
    </w:p>
    <w:p>
      <w:r>
        <w:t xml:space="preserve">Die eigentliche Innovation ist die Integration eines </w:t>
      </w:r>
      <w:r>
        <w:rPr>
          <w:b/>
        </w:rPr>
        <w:t>Decision-Tree-Harvesting</w:t>
      </w:r>
      <w:r>
        <w:t>-Mechanismus:</w:t>
      </w:r>
    </w:p>
    <w:p>
      <w:pPr>
        <w:pStyle w:val="ListParagraph"/>
        <w:numPr>
          <w:ilvl w:val="0"/>
          <w:numId w:val="4"/>
        </w:numPr>
      </w:pPr>
      <w:r>
        <w:t>Nach jeder Befundung wird in einer Mini-UI erfasst, welche Bildmerkmale entscheidend waren.</w:t>
      </w:r>
    </w:p>
    <w:p>
      <w:pPr>
        <w:pStyle w:val="ListParagraph"/>
        <w:numPr>
          <w:ilvl w:val="0"/>
          <w:numId w:val="4"/>
        </w:numPr>
      </w:pPr>
      <w:r>
        <w:t xml:space="preserve">Diese Entscheidungsbäume werden nach </w:t>
      </w:r>
      <w:r>
        <w:rPr>
          <w:b/>
        </w:rPr>
        <w:t>DICOM PS 3.15</w:t>
      </w:r>
      <w:r>
        <w:t xml:space="preserve"> anonymisiert.</w:t>
      </w:r>
    </w:p>
    <w:p>
      <w:pPr>
        <w:pStyle w:val="ListParagraph"/>
        <w:numPr>
          <w:ilvl w:val="0"/>
          <w:numId w:val="4"/>
        </w:numPr>
      </w:pPr>
      <w:r>
        <w:t>Sie dienen als zusätzlicher Trainings-Loss für das MFSD-UNet.</w:t>
      </w:r>
    </w:p>
    <w:p>
      <w:r>
        <w:t>Dies ermöglicht:</w:t>
      </w:r>
    </w:p>
    <w:p>
      <w:pPr>
        <w:pStyle w:val="ListParagraph"/>
        <w:numPr>
          <w:ilvl w:val="0"/>
          <w:numId w:val="5"/>
        </w:numPr>
      </w:pPr>
      <w:r>
        <w:t>Erfassung ärztlicher Entscheidungslogik</w:t>
      </w:r>
    </w:p>
    <w:p>
      <w:pPr>
        <w:pStyle w:val="ListParagraph"/>
        <w:numPr>
          <w:ilvl w:val="0"/>
          <w:numId w:val="5"/>
        </w:numPr>
      </w:pPr>
      <w:r>
        <w:t>Nutzung von tacit knowledge</w:t>
      </w:r>
    </w:p>
    <w:p>
      <w:pPr>
        <w:pStyle w:val="ListParagraph"/>
        <w:numPr>
          <w:ilvl w:val="0"/>
          <w:numId w:val="5"/>
        </w:numPr>
      </w:pPr>
      <w:r>
        <w:t>Verbesserte Nachvollziehbarkeit und Robustheit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5_daily_learning_loop" w:id="6"/>
      <w:r>
        <w:t>5. Daily Learning Loop</w:t>
      </w:r>
      <w:bookmarkEnd w:id="6"/>
    </w:p>
    <w:p>
      <w:r>
        <w:t>Ein nächtlicher Cron-Job:</w:t>
      </w:r>
    </w:p>
    <w:p>
      <w:pPr>
        <w:pStyle w:val="ListParagraph"/>
        <w:numPr>
          <w:ilvl w:val="0"/>
          <w:numId w:val="6"/>
        </w:numPr>
      </w:pPr>
      <w:r>
        <w:t>trainiert das Modell inkrementell auf neuen Decision-Trees</w:t>
      </w:r>
    </w:p>
    <w:p>
      <w:pPr>
        <w:pStyle w:val="ListParagraph"/>
        <w:numPr>
          <w:ilvl w:val="0"/>
          <w:numId w:val="6"/>
        </w:numPr>
      </w:pPr>
      <w:r>
        <w:t>analysiert AI-Mensch-Diskrepanzen</w:t>
      </w:r>
    </w:p>
    <w:p>
      <w:pPr>
        <w:pStyle w:val="ListParagraph"/>
        <w:numPr>
          <w:ilvl w:val="0"/>
          <w:numId w:val="6"/>
        </w:numPr>
      </w:pPr>
      <w:r>
        <w:t>führt Performance-Vergleiche durch</w:t>
      </w:r>
    </w:p>
    <w:p>
      <w:pPr>
        <w:pStyle w:val="ListParagraph"/>
        <w:numPr>
          <w:ilvl w:val="0"/>
          <w:numId w:val="6"/>
        </w:numPr>
      </w:pPr>
      <w:r>
        <w:t>rollt automatisch zurück bei Verschlechterung</w:t>
      </w:r>
    </w:p>
    <w:p>
      <w:r>
        <w:t>Damit entsteht ein kontinuierlich lernendes System, das dennoch vollständig lokal bleibt.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6_integration_in_den_klinik_workflow" w:id="7"/>
      <w:r>
        <w:t>6. Integration in den Klinik-Workflow</w:t>
      </w:r>
      <w:bookmarkEnd w:id="7"/>
    </w:p>
    <w:p>
      <w:pPr>
        <w:pStyle w:val="ListParagraph"/>
        <w:numPr>
          <w:ilvl w:val="0"/>
          <w:numId w:val="7"/>
        </w:numPr>
      </w:pPr>
      <w:r>
        <w:t>DICOM-Schnittstelle</w:t>
      </w:r>
    </w:p>
    <w:p>
      <w:pPr>
        <w:pStyle w:val="ListParagraph"/>
        <w:numPr>
          <w:ilvl w:val="0"/>
          <w:numId w:val="7"/>
        </w:numPr>
      </w:pPr>
      <w:r>
        <w:t>Keine Workflow-Änderung</w:t>
      </w:r>
    </w:p>
    <w:p>
      <w:pPr>
        <w:pStyle w:val="ListParagraph"/>
        <w:numPr>
          <w:ilvl w:val="0"/>
          <w:numId w:val="7"/>
        </w:numPr>
      </w:pPr>
      <w:r>
        <w:t>Analysezeit: 2 Sekunden pro Bild</w:t>
      </w:r>
    </w:p>
    <w:p>
      <w:pPr>
        <w:pStyle w:val="ListParagraph"/>
        <w:numPr>
          <w:ilvl w:val="0"/>
          <w:numId w:val="7"/>
        </w:numPr>
      </w:pPr>
      <w:r>
        <w:t>Vollständig offline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7_engineering_harnessing_in_der_medizintechnik" w:id="8"/>
      <w:r>
        <w:t>7. ENGINEERING HARNESSING IN DER MEDIZINTECHNIK</w:t>
      </w:r>
      <w:bookmarkEnd w:id="8"/>
    </w:p>
    <w:p>
      <w:r>
        <w:t xml:space="preserve">Traditionelle Medizinsoftware-Entwicklung dauert 3-5 Jahre. Das </w:t>
      </w:r>
      <w:r>
        <w:rPr>
          <w:b/>
        </w:rPr>
        <w:t>Engineering-Harnessing-Framework</w:t>
      </w:r>
      <w:r>
        <w:t xml:space="preserve"> reduziert diese Zeit auf 24 Monate durch:</w:t>
      </w:r>
    </w:p>
    <w:p>
      <w:pPr>
        <w:pStyle w:val="heading2"/>
      </w:pPr>
      <w:bookmarkStart w:name="modell_routing" w:id="9"/>
      <w:r>
        <w:t>Modell-Routing</w:t>
      </w:r>
      <w:bookmarkEnd w:id="9"/>
    </w:p>
    <w:p>
      <w:pPr>
        <w:pStyle w:val="ListParagraph"/>
        <w:numPr>
          <w:ilvl w:val="0"/>
          <w:numId w:val="8"/>
        </w:numPr>
      </w:pPr>
      <w:r>
        <w:t>Architekturentscheidungen werden einmal mit hochwertigen Modellen getroffen.</w:t>
      </w:r>
    </w:p>
    <w:p>
      <w:pPr>
        <w:pStyle w:val="ListParagraph"/>
        <w:numPr>
          <w:ilvl w:val="0"/>
          <w:numId w:val="8"/>
        </w:numPr>
      </w:pPr>
      <w:r>
        <w:t>Routine-Implementierung erfolgt mit kostengünstigeren Modellen.</w:t>
      </w:r>
    </w:p>
    <w:p>
      <w:pPr>
        <w:pStyle w:val="ListParagraph"/>
        <w:numPr>
          <w:ilvl w:val="0"/>
          <w:numId w:val="8"/>
        </w:numPr>
      </w:pPr>
      <w:r>
        <w:t>Vollständiger Audit-Trail.</w:t>
      </w:r>
    </w:p>
    <w:p>
      <w:pPr>
        <w:pStyle w:val="heading2"/>
      </w:pPr>
      <w:bookmarkStart w:name="memory_hierarchie" w:id="10"/>
      <w:r>
        <w:t>Memory-Hierarchie</w:t>
      </w:r>
      <w:bookmarkEnd w:id="10"/>
    </w:p>
    <w:p>
      <w:pPr>
        <w:pStyle w:val="ListParagraph"/>
        <w:numPr>
          <w:ilvl w:val="0"/>
          <w:numId w:val="9"/>
        </w:numPr>
      </w:pPr>
      <w:r>
        <w:t>Jeder Entwicklungs-Run hinterlässt strukturierte Lehren.</w:t>
      </w:r>
    </w:p>
    <w:p>
      <w:pPr>
        <w:pStyle w:val="ListParagraph"/>
        <w:numPr>
          <w:ilvl w:val="0"/>
          <w:numId w:val="9"/>
        </w:numPr>
      </w:pPr>
      <w:r>
        <w:t>Neue Runs starten nicht bei Null, sondern mit konsolidiertem Wissen.</w:t>
      </w:r>
    </w:p>
    <w:p>
      <w:pPr>
        <w:pStyle w:val="heading2"/>
      </w:pPr>
      <w:bookmarkStart w:name="regulatory_by_design" w:id="11"/>
      <w:r>
        <w:t>Regulatory-by-Design</w:t>
      </w:r>
      <w:bookmarkEnd w:id="11"/>
    </w:p>
    <w:p>
      <w:pPr>
        <w:pStyle w:val="ListParagraph"/>
        <w:numPr>
          <w:ilvl w:val="0"/>
          <w:numId w:val="10"/>
        </w:numPr>
      </w:pPr>
      <w:r>
        <w:t>MDR Class IIa, DIN EN 62304 und EU AI Act sind integrale Architekturprinzipien.</w:t>
      </w:r>
    </w:p>
    <w:p>
      <w:pPr>
        <w:pStyle w:val="heading2"/>
      </w:pPr>
      <w:bookmarkStart w:name="decision_tree_harvesting_in_der_validierung" w:id="12"/>
      <w:r>
        <w:t>Decision-Tree-Harvesting in der Validierung</w:t>
      </w:r>
      <w:bookmarkEnd w:id="12"/>
    </w:p>
    <w:p>
      <w:pPr>
        <w:pStyle w:val="ListParagraph"/>
        <w:numPr>
          <w:ilvl w:val="0"/>
          <w:numId w:val="11"/>
        </w:numPr>
      </w:pPr>
      <w:r>
        <w:t>Ab Phase 5 lernt das System täglich aus anonymisierten Entscheidungsbegründungen.</w:t>
      </w:r>
    </w:p>
    <w:p>
      <w:pPr>
        <w:pStyle w:val="ListParagraph"/>
        <w:numPr>
          <w:ilvl w:val="0"/>
          <w:numId w:val="11"/>
        </w:numPr>
      </w:pPr>
      <w:r>
        <w:t>Auto-Rollback bei Performanceverlust.</w:t>
      </w:r>
    </w:p>
    <w:p>
      <w:r>
        <w:t>Diese Methodik ist nicht Carotis-spezifisch und kann auf weitere radiologische Fragestellungen übertragen werden. Damit entsteht eine wiederverwendbare Plattform für zukünftige KI-Promotionen am Klinikum Dortmund.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8_projektphasen_p0_p7" w:id="13"/>
      <w:r>
        <w:t>8. Projektphasen (P0-P7)</w:t>
      </w:r>
      <w:bookmarkEnd w:id="13"/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Phase</w:t>
            </w:r>
          </w:p>
        </w:tc>
        <w:tc>
          <w:p>
            <w:r>
              <w:t>Inhalt</w:t>
            </w:r>
          </w:p>
        </w:tc>
      </w:tr>
      <w:tr>
        <w:tc>
          <w:p>
            <w:r>
              <w:rPr>
                <w:b/>
              </w:rPr>
              <w:t>P0</w:t>
            </w:r>
          </w:p>
        </w:tc>
        <w:tc>
          <w:p>
            <w:r>
              <w:t>Regulatory Setup (MDR, DIN EN 62304, EU AI Act)</w:t>
            </w:r>
          </w:p>
        </w:tc>
      </w:tr>
      <w:tr>
        <w:tc>
          <w:p>
            <w:r>
              <w:rPr>
                <w:b/>
              </w:rPr>
              <w:t>P1</w:t>
            </w:r>
          </w:p>
        </w:tc>
        <w:tc>
          <w:p>
            <w:r>
              <w:t>Literaturrecherche &amp; Ethikvoten</w:t>
            </w:r>
          </w:p>
        </w:tc>
      </w:tr>
      <w:tr>
        <w:tc>
          <w:p>
            <w:r>
              <w:rPr>
                <w:b/>
              </w:rPr>
              <w:t>P2</w:t>
            </w:r>
          </w:p>
        </w:tc>
        <w:tc>
          <w:p>
            <w:r>
              <w:t>Datenakquise (DE/JO), DICOM PS 3.15 De-Identification</w:t>
            </w:r>
          </w:p>
        </w:tc>
      </w:tr>
      <w:tr>
        <w:tc>
          <w:p>
            <w:r>
              <w:rPr>
                <w:b/>
              </w:rPr>
              <w:t>P3</w:t>
            </w:r>
          </w:p>
        </w:tc>
        <w:tc>
          <w:p>
            <w:r>
              <w:t>MFSD-UNet Training, Grad-CAM Integration</w:t>
            </w:r>
          </w:p>
        </w:tc>
      </w:tr>
      <w:tr>
        <w:tc>
          <w:p>
            <w:r>
              <w:rPr>
                <w:b/>
              </w:rPr>
              <w:t>P4</w:t>
            </w:r>
          </w:p>
        </w:tc>
        <w:tc>
          <w:p>
            <w:r>
              <w:t>Decision-Tree-Harvesting UI &amp; Korpus</w:t>
            </w:r>
          </w:p>
        </w:tc>
      </w:tr>
      <w:tr>
        <w:tc>
          <w:p>
            <w:r>
              <w:rPr>
                <w:b/>
              </w:rPr>
              <w:t>P5</w:t>
            </w:r>
          </w:p>
        </w:tc>
        <w:tc>
          <w:p>
            <w:r>
              <w:t>Daily Learning Loop, Auto-Rollback</w:t>
            </w:r>
          </w:p>
        </w:tc>
      </w:tr>
      <w:tr>
        <w:tc>
          <w:p>
            <w:r>
              <w:rPr>
                <w:b/>
              </w:rPr>
              <w:t>P6</w:t>
            </w:r>
          </w:p>
        </w:tc>
        <w:tc>
          <w:p>
            <w:r>
              <w:t>Klinische Validierung (Inter-Observer-Variabilität, Robustheit)</w:t>
            </w:r>
          </w:p>
        </w:tc>
      </w:tr>
      <w:tr>
        <w:tc>
          <w:p>
            <w:r>
              <w:rPr>
                <w:b/>
              </w:rPr>
              <w:t>P7</w:t>
            </w:r>
          </w:p>
        </w:tc>
        <w:tc>
          <w:p>
            <w:r>
              <w:t>Publikation &amp; Zertifizierung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9_nutzen_für_das_klinikum_dortmund" w:id="14"/>
      <w:r>
        <w:t>9. Nutzen für das Klinikum Dortmund</w:t>
      </w:r>
      <w:bookmarkEnd w:id="14"/>
    </w:p>
    <w:p>
      <w:pPr>
        <w:pStyle w:val="ListParagraph"/>
        <w:numPr>
          <w:ilvl w:val="0"/>
          <w:numId w:val="12"/>
        </w:numPr>
      </w:pPr>
      <w:r>
        <w:t>Erste DSGVO-konforme KI-Implementation am Haus</w:t>
      </w:r>
    </w:p>
    <w:p>
      <w:pPr>
        <w:pStyle w:val="ListParagraph"/>
        <w:numPr>
          <w:ilvl w:val="0"/>
          <w:numId w:val="12"/>
        </w:numPr>
      </w:pPr>
      <w:r>
        <w:t>Reduktion der Inter-Observer-Variabilität auf &lt; 5 %</w:t>
      </w:r>
    </w:p>
    <w:p>
      <w:pPr>
        <w:pStyle w:val="ListParagraph"/>
        <w:numPr>
          <w:ilvl w:val="0"/>
          <w:numId w:val="12"/>
        </w:numPr>
      </w:pPr>
      <w:r>
        <w:t>20-30 % Effizienzsteigerung</w:t>
      </w:r>
    </w:p>
    <w:p>
      <w:pPr>
        <w:pStyle w:val="ListParagraph"/>
        <w:numPr>
          <w:ilvl w:val="0"/>
          <w:numId w:val="12"/>
        </w:numPr>
      </w:pPr>
      <w:r>
        <w:t>Drittmittelfähigkeit (BMBF)</w:t>
      </w:r>
    </w:p>
    <w:p>
      <w:pPr>
        <w:pStyle w:val="ListParagraph"/>
        <w:numPr>
          <w:ilvl w:val="0"/>
          <w:numId w:val="12"/>
        </w:numPr>
      </w:pPr>
      <w:r>
        <w:t>Wiederverwendbare Methodik für weitere Promotionen</w:t>
      </w:r>
    </w:p>
    <w:p>
      <w:pPr>
        <w:pStyle w:val="ListParagraph"/>
        <w:numPr>
          <w:ilvl w:val="0"/>
          <w:numId w:val="12"/>
        </w:numPr>
      </w:pPr>
      <w:r>
        <w:t>Reputationsgewinn als KI-Vorreiter in der Neuroradiologie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h_10_fazit" w:id="15"/>
      <w:r>
        <w:t>10. Fazit</w:t>
      </w:r>
      <w:bookmarkEnd w:id="15"/>
    </w:p>
    <w:p>
      <w:r>
        <w:t>Carotis-AI bietet dem Klinikum Dortmund eine robuste, erklärbare, regulatorisch saubere und wissenschaftlich hochwertige KI-Lösung. Die Kombination aus MFSD-UNet, Local-First Edge AI, Decision-Tree-Harvesting und Engineering Harnessing schafft eine nachhaltige Plattform für medizinische KI-Forschung.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diff_liste_änderungen_gegenüber_v1" w:id="16"/>
      <w:r>
        <w:t>DIFF-LISTE (Änderungen gegenüber v1)</w:t>
      </w:r>
      <w:bookmarkEnd w:id="16"/>
    </w:p>
    <w:p>
      <w:pPr>
        <w:pStyle w:val="ListParagraph"/>
        <w:numPr>
          <w:ilvl w:val="0"/>
          <w:numId w:val="13"/>
        </w:numPr>
      </w:pPr>
      <w:r>
        <w:t>Setting vollständig auf Klinikum Dortmund aktualisiert</w:t>
      </w:r>
    </w:p>
    <w:p>
      <w:pPr>
        <w:pStyle w:val="ListParagraph"/>
        <w:numPr>
          <w:ilvl w:val="0"/>
          <w:numId w:val="13"/>
        </w:numPr>
      </w:pPr>
      <w:r>
        <w:t>Datum aktualisiert</w:t>
      </w:r>
    </w:p>
    <w:p>
      <w:pPr>
        <w:pStyle w:val="ListParagraph"/>
        <w:numPr>
          <w:ilvl w:val="0"/>
          <w:numId w:val="13"/>
        </w:numPr>
      </w:pPr>
      <w:r>
        <w:t>Neuer Abschnitt „Engineering Harnessing in der Medizintechnik“ eingefügt</w:t>
      </w:r>
    </w:p>
    <w:p>
      <w:pPr>
        <w:pStyle w:val="ListParagraph"/>
        <w:numPr>
          <w:ilvl w:val="0"/>
          <w:numId w:val="13"/>
        </w:numPr>
      </w:pPr>
      <w:r>
        <w:t>Decision-Tree-Harvesting erweitert</w:t>
      </w:r>
    </w:p>
    <w:p>
      <w:pPr>
        <w:pStyle w:val="ListParagraph"/>
        <w:numPr>
          <w:ilvl w:val="0"/>
          <w:numId w:val="13"/>
        </w:numPr>
      </w:pPr>
      <w:r>
        <w:t>Alle verpflichtenden Keywords integriert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4c4452b0cd574741" /><Relationship Type="http://schemas.openxmlformats.org/officeDocument/2006/relationships/settings" Target="/word/settings.xml" Id="Re640dc762f8f4472" /><Relationship Type="http://schemas.openxmlformats.org/officeDocument/2006/relationships/styles" Target="/word/styles.xml" Id="R7eb18f1528794c98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