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1080"/>
        <w:tblBorders>
          <w:top w:val="none"/>
          <w:left w:val="none"/>
          <w:bottom w:val="single" w:color="1A1A1A" w:sz="8"/>
          <w:right w:val="none"/>
          <w:insideH w:val="none"/>
          <w:insideV w:val="none"/>
        </w:tblBorders>
      </w:tblPr>
      <w:tblGrid>
        <w:gridCol w:w="100"/>
      </w:tblGrid>
      <w:tr>
        <w:trPr>
          <w:trHeight w:val="2400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F5F1EB" w:val="clear"/>
            <w:tcMar>
              <w:top w:type="dxa" w:w="360"/>
              <w:left w:type="dxa" w:w="1080"/>
              <w:bottom w:type="dxa" w:w="360"/>
            </w:tcMar>
            <w:vAlign w:val="center"/>
          </w:tcPr>
          <w:p>
            <w:pPr>
              <w:spacing w:after="2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56"/>
                <w:szCs w:val="56"/>
              </w:rPr>
              <w:t xml:space="preserve">Warum DIESE Promotion Ihre Praxis nachhaltig stärkt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8"/>
                <w:szCs w:val="28"/>
              </w:rPr>
              <w:t xml:space="preserve">KI-gestützte Carotis-Diagnostik: Eine strategische Chance für Wissenschaft, Wirtschaft und Reputation</w:t>
            </w:r>
          </w:p>
        </w:tc>
      </w:tr>
    </w:tbl>
    <w:p>
      <w:pPr>
        <w:spacing w:after="480"/>
      </w:pP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1. WISSENSCHAFTLICHER RUHM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First-Author-Publikation in Top-Journals: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Zieljournals 'Radiology' (Impact Factor 29.1) oder 'Journal of NeuroInterventional Surgery' (Impact Factor 4.8) mit Ihrem Namen als Betreuer. Die Kombination aus MFSD-UNet-Architektur und transnationaler Validierung ist bisher unpubliziert.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Einzigartige transnationale Studie: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Deutschland-Jordanien Kooperation mit Sarah Specialty Hospital demonstriert Generalisierbarkeit auf diverse Patientenpopulationen. Hochattraktiv für internationale Fachzeitschriften und Konferenzpräsentationen (RSNA, ECR).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Regulatorische Pionierarbeit: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Sie gehören zu den ersten deutschen Ärzten, die ein High-Risk Medical AI System nach EU AI Act regulatorisch sauber implementieren. MDR-Konformität als Class IIa/IIb Medical Device nach DIN EN 62304.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2. WIRTSCHAFTLICHER VORSPRUNG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Technologieführerschaft: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'Erste KI-unterstützte Gefäßdiagnostik der Region' – einzigartiges Marketing für Patientenakquise und Zuweiser. Positionierung als Innovationsführer mit nachhaltiger Differenzierung.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Keine laufenden Kosten: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Local-First-Architektur ohne Cloud-Gebühren oder SaaS-Lizenzkosten. Einmalige Implementierung, lebenslanger Nutzen. Hardware amortisiert sich binnen 12 Monaten durch Effizienzgewinne.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Effizienzsteigerung: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20-30% schnellere Befundung durch automatisierte Segmentierung und Stenosegraduierung. Reduktion der Inter-Observer-Variabilität von 15-30% auf unter 5%. Mehr Zeit für Patientenbetreuung.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Rechtssicherheit: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Standardisierte, nachvollziehbare Befundung mit Grad-CAM Heatmaps und Audit-Trail. Schutz vor MDK-Prüfungen und juristischen Risiken durch transparente KI-Entscheidungen.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3. REGULATORISCHE EXZELLENZ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100% DSGVO-konform: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Local-First-Architektur mit vollständiger Datensouveränität. Patientendaten verlassen niemals die Praxis. Kein Cloud-Risiko, verschlüsselte Datenspeicherung nach DSGVO Art. 25.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MDR-Konformität: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Entwicklung als Medical Device Class IIa/IIb nach DIN EN 62304 – das ist Goldstandard. Vollständige Dokumentation aller KI-Entscheidungen mit Human-in-the-Loop Interface.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EU AI Act Compliance: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Proaktive Erfüllung aller Anforderungen für High-Risk AI Systems: Data Governance, Transparency, Human Oversight, Accuracy und Risk Management. Explainable AI mit Grad-CAM Visualisierung.</w:t>
      </w:r>
    </w:p>
    <w:p>
      <w:r>
        <w:t xml:space="preserve"/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4. PERSONALBINDUNG UND EXPERTISE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Langfristige Mitarbeiterbindung: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Dr. Aroob Alrawashdeh bleibt durch die Promotion langfristig in der Praxis. Die wissenschaftliche Zusammenarbeit schafft eine tiefe emotionale und fachliche Bindung über die Projektlaufzeit hinaus.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Technischer Partner: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Laith Alshdaifat (Medizintechniker, HAW Hamburg) bleibt als technischer Partner angebunden – lebenslanger IT-Support und Weiterentwicklung des Systems ohne externe Abhängigkeiten.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5. DAS WISSENSCHAFTLICHE NETZWERK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HAW Hamburg Professoren: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Prof. Dr. Petra Margaritoff (Medical ML), Prof. Dr. Boris Tolg (VR in Medicine), Prof. Dr. Udo van Stevendaal (Medical Devices) – direkter Zugang zu cutting-edge Forschung und akademischem Netzwerk.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Internationale Kooperation: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Sarah Specialty Hospital (Jordanien) als klinischer Validierungspartner. Transnationale Studienkooperation eröffnet weitere internationale Publikations- und Forschungsmöglichkeiten.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Innovation Ecosystem: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Dr. Islam Shdaifat (JoVision, WEF Top 100 Startup) – Zugang zu cutting-edge Computer Vision und KI-Innovation. Verbindung zu internationalen Tech-Unternehmen und Startup-Ökosystem.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6. RISIKOBEWERTUNG UND ABSICHERUNG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Finanzierung: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Vollständig extern durch Familieninvestition finanziert. Keine Kosten oder finanzielle Verpflichtungen für die Praxis. Keine Abhängigkeit von Drittmitteln oder Förderanträgen.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Datenschutz: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Local-First Architektur eliminiert Datenverlust-Risiko. DICOM PS 3.15 De-Identification für Trainingsdaten. Kein Cloud-Transfer, keine externen Abhängigkeiten. Privacy by Design nach DSGVO Art. 25.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Zeitaufwand: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Minimaler Aufwand für den Praxis-Chef. Sie bringen nur klinische Expertise für Ground Truth Validierung ein. Die komplette technische Entwicklung übernimmt Laith Alshdaifat.</w:t>
      </w:r>
    </w:p>
    <w:p>
      <w:pPr>
        <w:spacing w:after="48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•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Exit-Option: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Sollte das Projekt nicht den Erwartungen entsprechen, ist die Praxis nicht gebunden. Bereits entwickelte Komponenten bleiben als Eigenentwicklung in der Praxis. Die Erfolgsaussichten stehen jedoch exzellent.</w:t>
      </w:r>
    </w:p>
    <w:tbl>
      <w:tblPr>
        <w:tblW w:type="pct" w:w="100%"/>
        <w:tblBorders>
          <w:top w:val="single" w:color="B8860B" w:sz="8"/>
          <w:left w:val="none"/>
          <w:bottom w:val="single" w:color="B8860B" w:sz="8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9F6F1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2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8"/>
                <w:szCs w:val="28"/>
              </w:rPr>
              <w:t xml:space="preserve">FAZIT: EINZIGARTIGE CHANCE FÜR NACHHALTIGE PRAXISSTÄRKUNG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4"/>
                <w:szCs w:val="24"/>
              </w:rPr>
              <w:t xml:space="preserve">Diese Promotion kombiniert wissenschaftliche Exzellenz, wirtschaftlichen Mehrwert und regulatorische Pionierarbeit.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Minimales Risiko, maximaler Nutzen – eine strategische Investition in die Zukunft Ihrer Praxis.</w:t>
            </w:r>
          </w:p>
        </w:tc>
      </w:tr>
    </w:tbl>
    <w:p>
      <w:pPr>
        <w:spacing w:before="480"/>
        <w:jc w:val="righ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Dr. Aroob Alrawashdeh • 25. April 2026</w:t>
      </w:r>
    </w:p>
    <w:sectPr>
      <w:pgSz w:w="11906" w:h="16838" w:orient="portrait"/>
      <w:pgMar w:top="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2026-04-25T20:57:44.144Z</dcterms:created>
  <dcterms:modified xsi:type="dcterms:W3CDTF">2026-04-25T20:57:44.159Z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