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pStyle w:val="Title"/>
      </w:pPr>
      <w:r>
        <w:t xml:space="preserve">Shipping Policy</w:t>
      </w:r>
    </w:p>
    <w:p>
      <w:r>
        <w:t xml:space="preserve">Effective Date: December 17, 2025</w:t>
      </w:r>
      <w:r>
        <w:br/>
      </w:r>
      <w:r>
        <w:t xml:space="preserve">Last Updated: May 23, 2026</w:t>
      </w:r>
      <w:r>
        <w:br/>
      </w:r>
      <w:r>
        <w:t xml:space="preserve">Version: 2026.05.23</w:t>
      </w:r>
    </w:p>
    <w:p>
      <w:r>
        <w:t xml:space="preserve">This Shipping Policy applies to orders placed through TrufusionLabs websites, portals, physician-directed research workflows, and authorized-recipient links. It is part of the Terms of Service.</w:t>
      </w:r>
    </w:p>
    <w:p>
      <w:pPr>
        <w:pStyle w:val="Heading1"/>
      </w:pPr>
      <w:r>
        <w:t xml:space="preserve">1. Order Review and Verification</w:t>
      </w:r>
    </w:p>
    <w:p>
      <w:r>
        <w:t xml:space="preserve">Orders are reviewed before fulfillment. We may hold an order to verify account status, professional eligibility, payment status, tax or resale documentation, recipient information, shipping address, product availability, weather conditions, or other compliance and operational factors. Orders pending verification will not ship until review is complete.</w:t>
      </w:r>
    </w:p>
    <w:p>
      <w:pPr>
        <w:pStyle w:val="Heading1"/>
      </w:pPr>
      <w:r>
        <w:t xml:space="preserve">2. Processing Times</w:t>
      </w:r>
    </w:p>
    <w:p>
      <w:r>
        <w:t xml:space="preserve">Most in-stock items ship within one to two business days after order approval, but processing times are estimates and not guarantees. Processing may be adjusted around weekends, holidays, carrier cutoff times, weather, temperature-sensitive packaging needs, verification holds, or other conditions that could affect product integrity or delivery.</w:t>
      </w:r>
    </w:p>
    <w:p>
      <w:pPr>
        <w:pStyle w:val="Heading1"/>
      </w:pPr>
      <w:r>
        <w:t xml:space="preserve">3. Shipping Methods, Rates, and Carriers</w:t>
      </w:r>
    </w:p>
    <w:p>
      <w:r>
        <w:t xml:space="preserve">Available shipping methods and rates may vary by destination, product, package weight, account type, carrier availability, and selected service level. Delivery timelines begin once an order leaves the fulfillment location. Estimates shown at checkout or in tracking tools are not guaranteed.</w:t>
      </w:r>
    </w:p>
    <w:p>
      <w:pPr>
        <w:pStyle w:val="Heading1"/>
      </w:pPr>
      <w:r>
        <w:t xml:space="preserve">4. Facility Pickup, Hand Delivery, and Physician-Coordinated Delivery</w:t>
      </w:r>
    </w:p>
    <w:p>
      <w:r>
        <w:t xml:space="preserve">Some accounts or workflows may offer facility pickup, hand delivery, or physician-coordinated delivery. These options may require additional verification, recipient coordination, or professional review. If an authorized-recipient or delegate workflow is used, shipping or delivery may be coordinated by the physician or approved professional associated with that workflow, and additional charges or instructions may apply.</w:t>
      </w:r>
    </w:p>
    <w:p>
      <w:pPr>
        <w:pStyle w:val="Heading1"/>
      </w:pPr>
      <w:r>
        <w:t xml:space="preserve">5. Shipping Restrictions</w:t>
      </w:r>
    </w:p>
    <w:p>
      <w:r>
        <w:t xml:space="preserve">We may decline, hold, or cancel shipments to certain addresses, jurisdictions, account types, or recipients where shipping is unavailable, restricted, unverifiable, or unsuitable. We generally do not ship to P.O. boxes or APO/FPO/DPO addresses unless expressly approved. International shipping, if available, is evaluated case by case and may require customs documentation. Customers are responsible for import laws, duties, taxes, brokerage fees, and local compliance.</w:t>
      </w:r>
    </w:p>
    <w:p>
      <w:pPr>
        <w:pStyle w:val="Heading1"/>
      </w:pPr>
      <w:r>
        <w:t xml:space="preserve">6. Address Accuracy</w:t>
      </w:r>
    </w:p>
    <w:p>
      <w:r>
        <w:t xml:space="preserve">You are responsible for providing complete and accurate shipping, pickup, recipient, and contact information. Orders delayed, returned, refused, misdelivered, or undeliverable because of inaccurate or incomplete information may incur additional charges, reshipment fees, cancellation, or loss of eligibility for refund or replacement.</w:t>
      </w:r>
    </w:p>
    <w:p>
      <w:pPr>
        <w:pStyle w:val="Heading1"/>
      </w:pPr>
      <w:r>
        <w:t xml:space="preserve">7. Tracking and Delivery Updates</w:t>
      </w:r>
    </w:p>
    <w:p>
      <w:r>
        <w:t xml:space="preserve">When tracking is available, tracking information may be sent by email or shown in the account dashboard. Carrier scans and delivery updates are provided by the carrier and may be delayed, incomplete, or unavailable. A delivered scan does not guarantee that a package was personally received by the intended recipient.</w:t>
      </w:r>
    </w:p>
    <w:p>
      <w:pPr>
        <w:pStyle w:val="Heading1"/>
      </w:pPr>
      <w:r>
        <w:t xml:space="preserve">8. Delays, Lost Packages, and Damaged Shipments</w:t>
      </w:r>
    </w:p>
    <w:p>
      <w:r>
        <w:t xml:space="preserve">TrufusionLabs is not responsible for carrier delays, weather, customs review, access issues, recipient unavailability, incorrect addresses, or other events outside our reasonable control. If a package is marked delivered but not received, contact us within three business days so we can review options with the carrier.</w:t>
      </w:r>
    </w:p>
    <w:p>
      <w:r>
        <w:t xml:space="preserve">Inspect shipments promptly. For damaged, incorrect, or incomplete shipments, contact support@trufusionlabs.com within seven days of delivery and include your order number, a description of the issue, and photos of the outer packaging, inner packaging, product label, and affected item where applicable.</w:t>
      </w:r>
    </w:p>
    <w:p>
      <w:pPr>
        <w:pStyle w:val="Heading1"/>
      </w:pPr>
      <w:r>
        <w:t xml:space="preserve">9. Temperature-Sensitive Items</w:t>
      </w:r>
    </w:p>
    <w:p>
      <w:r>
        <w:t xml:space="preserve">Some products may require insulated packaging, cold packs, expedited service, or timing adjustments. Packaging choices are based on product type, destination, season, and operational judgment. We may delay shipment during extreme weather or when transit conditions could affect product integrity.</w:t>
      </w:r>
    </w:p>
    <w:p>
      <w:pPr>
        <w:pStyle w:val="Heading1"/>
      </w:pPr>
      <w:r>
        <w:t xml:space="preserve">10. Order Changes and Cancellations</w:t>
      </w:r>
    </w:p>
    <w:p>
      <w:r>
        <w:t xml:space="preserve">Contact us promptly if an order needs to be changed or canceled. Changes are not guaranteed and may not be possible after review, packing, payment processing, carrier handoff, pickup scheduling, or fulfillment preparation has begun.</w:t>
      </w:r>
    </w:p>
    <w:p>
      <w:pPr>
        <w:pStyle w:val="Heading1"/>
      </w:pPr>
      <w:r>
        <w:t xml:space="preserve">11. Returns</w:t>
      </w:r>
    </w:p>
    <w:p>
      <w:r>
        <w:t xml:space="preserve">Returns and refunds are governed by the Returns and Refunds Policy. Do not ship products back without written authorization. Unauthorized returns may be refused or handled case by case.</w:t>
      </w:r>
    </w:p>
    <w:p>
      <w:pPr>
        <w:pStyle w:val="Heading1"/>
      </w:pPr>
      <w:r>
        <w:t xml:space="preserve">12. Contact</w:t>
      </w:r>
    </w:p>
    <w:p>
      <w:r>
        <w:t xml:space="preserve">For shipping questions, contact support@trufusionlabs.com.</w:t>
      </w:r>
    </w:p>
    <w:sectPr>
      <w:pgSz w:w="12240" w:h="15840"/>
      <w:pgMar w:top="1440" w:right="1440" w:bottom="1440" w:left="1440" w:header="720" w:footer="720" w:gutter="0"/>
    </w:sectPr>
  </w:body>
</w:document>
</file>

<file path=word/styles.xml><?xml version="1.0" encoding="utf-8"?>
<w:styles xmlns:w="http://schemas.openxmlformats.org/wordprocessingml/2006/main">
  <w:style w:type="paragraph" w:styleId="Normal">
    <w:name w:val="Normal"/>
  </w:style>
  <w:style w:type="paragraph" w:styleId="Title">
    <w:name w:val="Title"/>
    <w:basedOn w:val="Normal"/>
    <w:pPr>
      <w:spacing w:after="160"/>
    </w:pPr>
    <w:rPr>
      <w:b/>
      <w:sz w:val="34"/>
    </w:rPr>
  </w:style>
  <w:style w:type="paragraph" w:styleId="Heading1">
    <w:name w:val="heading 1"/>
    <w:basedOn w:val="Normal"/>
    <w:pPr>
      <w:spacing w:before="240" w:after="80"/>
    </w:pPr>
    <w:rPr>
      <w:b/>
      <w:sz w:val="24"/>
    </w:rPr>
  </w:style>
</w:styles>
</file>