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Arial" w:hAnsi="Arial"/>
          <w:b/>
          <w:i w:val="0"/>
          <w:color w:val="2A7F8E"/>
          <w:sz w:val="18"/>
        </w:rPr>
        <w:t>PRODUCT DECISION BRIEF</w:t>
      </w:r>
    </w:p>
    <w:p>
      <w:pPr>
        <w:spacing w:after="100"/>
      </w:pPr>
      <w:r>
        <w:rPr>
          <w:rFonts w:ascii="Arial" w:hAnsi="Arial"/>
          <w:b/>
          <w:i w:val="0"/>
          <w:color w:val="17365D"/>
          <w:sz w:val="50"/>
        </w:rPr>
        <w:t>DigiDARA Productization Plan</w:t>
      </w:r>
    </w:p>
    <w:p>
      <w:pPr>
        <w:spacing w:after="300"/>
      </w:pPr>
      <w:r>
        <w:rPr>
          <w:rFonts w:ascii="Arial" w:hAnsi="Arial"/>
          <w:b w:val="0"/>
          <w:i w:val="0"/>
          <w:color w:val="5B6573"/>
          <w:sz w:val="27"/>
        </w:rPr>
        <w:t>From pilot-ready MVP to a standalone commercial product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Prepared for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Product Owner / Leadership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Prepared by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DigiDARA Engineering Team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Date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5 August 2026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Current status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Working pilot-ready MVP with a live, exercised call path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Decision requested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Approve a focused product-hardening phase before commercial rollout</w:t>
            </w:r>
          </w:p>
        </w:tc>
      </w:tr>
    </w:tbl>
    <w:p>
      <w:pPr>
        <w:pStyle w:val="Heading1"/>
      </w:pPr>
      <w:r>
        <w:t>Executive recommendation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6F5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A7F8E"/>
                <w:sz w:val="18"/>
              </w:rPr>
              <w:t>RECOMMENDED DIRECTION</w:t>
            </w:r>
          </w:p>
          <w:p>
            <w:pPr>
              <w:spacing w:after="0" w:line="264" w:lineRule="auto"/>
            </w:pPr>
            <w:r>
              <w:rPr>
                <w:rFonts w:ascii="Arial" w:hAnsi="Arial"/>
                <w:b/>
                <w:i w:val="0"/>
                <w:color w:val="1F2937"/>
                <w:sz w:val="22"/>
              </w:rPr>
              <w:t>Preserve the working bilingual voice pipeline and convert it into a controlled, single-tenant production pilot. Prioritize security, deployment, reliability, monitoring, compliance, and repeatable operations before adding major new features or onboarding multiple customers.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DigiDARA is beyond a concept demo: real calls have been placed, recorded, billed, and analyzed through live infrastructure. However, it is not yet ready to operate as a broadly deployable commercial product.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The difficult product proof - bilingual AI voice calling in English and Tamil - already works. The next investment should harden the system around that proven core.</w:t>
      </w:r>
    </w:p>
    <w:p>
      <w:pPr>
        <w:pStyle w:val="Heading2"/>
      </w:pPr>
      <w:r>
        <w:t>Owner decision required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Approve product hardening as the next engineering milestone.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Authorize a controlled single-tenant production pilot as the immediate target state.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Defer multi-tenant SaaS expansion and non-essential features until pilot acceptance criteria are met.</w:t>
      </w:r>
    </w:p>
    <w:p>
      <w:r>
        <w:br w:type="page"/>
      </w:r>
    </w:p>
    <w:p>
      <w:pPr>
        <w:pStyle w:val="Heading1"/>
      </w:pPr>
      <w:r>
        <w:t>1. Current product assessment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The core workflow is aligned as one coherent pipeline. Individual calls and bulk campaigns converge on the same Plivo + OpenAI Realtime conversation path. This reduces duplicated logic and ensures shared improvements - including suppression checks, call lifecycle handling, and inactivity termination - benefit both workflows.</w:t>
      </w:r>
    </w:p>
    <w:p>
      <w:pPr>
        <w:pStyle w:val="Heading2"/>
      </w:pPr>
      <w:r>
        <w:t>End-to-end operating pipeline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80"/>
        <w:gridCol w:w="2260"/>
        <w:gridCol w:w="6320"/>
      </w:tblGrid>
      <w:tr>
        <w:trPr>
          <w:tblHeader w:val="true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System action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2A7F8E"/>
                <w:sz w:val="19"/>
              </w:rPr>
              <w:t>01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Lead source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Dashboard entry or Google Sheet campaign</w:t>
            </w:r>
          </w:p>
        </w:tc>
      </w:tr>
      <w:tr>
        <w:tc>
          <w:tcPr>
            <w:tcW w:type="dxa" w:w="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2A7F8E"/>
                <w:sz w:val="19"/>
              </w:rPr>
              <w:t>02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Pre-call controls</w:t>
            </w:r>
          </w:p>
        </w:tc>
        <w:tc>
          <w:tcPr>
            <w:tcW w:type="dxa" w:w="6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Customer validation and do-not-call suppression check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2A7F8E"/>
                <w:sz w:val="19"/>
              </w:rPr>
              <w:t>03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Call initiation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Call log creation and Plivo outbound call</w:t>
            </w:r>
          </w:p>
        </w:tc>
      </w:tr>
      <w:tr>
        <w:tc>
          <w:tcPr>
            <w:tcW w:type="dxa" w:w="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2A7F8E"/>
                <w:sz w:val="19"/>
              </w:rPr>
              <w:t>04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Conversation setup</w:t>
            </w:r>
          </w:p>
        </w:tc>
        <w:tc>
          <w:tcPr>
            <w:tcW w:type="dxa" w:w="6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English/Tamil selection and session initialization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2A7F8E"/>
                <w:sz w:val="19"/>
              </w:rPr>
              <w:t>05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Live interaction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OpenAI Realtime speech-to-speech conversation</w:t>
            </w:r>
          </w:p>
        </w:tc>
      </w:tr>
      <w:tr>
        <w:tc>
          <w:tcPr>
            <w:tcW w:type="dxa" w:w="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2A7F8E"/>
                <w:sz w:val="19"/>
              </w:rPr>
              <w:t>06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Evidence capture</w:t>
            </w:r>
          </w:p>
        </w:tc>
        <w:tc>
          <w:tcPr>
            <w:tcW w:type="dxa" w:w="6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Recording, transcript, summary, outcome, and cost tracking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2A7F8E"/>
                <w:sz w:val="19"/>
              </w:rPr>
              <w:t>07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Finalization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Hangup handling and idempotent outcome finalization</w:t>
            </w:r>
          </w:p>
        </w:tc>
      </w:tr>
      <w:tr>
        <w:tc>
          <w:tcPr>
            <w:tcW w:type="dxa" w:w="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2A7F8E"/>
                <w:sz w:val="19"/>
              </w:rPr>
              <w:t>08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Campaign continuation</w:t>
            </w:r>
          </w:p>
        </w:tc>
        <w:tc>
          <w:tcPr>
            <w:tcW w:type="dxa" w:w="6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Google Sheet update and next eligible bulk call</w:t>
            </w:r>
          </w:p>
        </w:tc>
      </w:tr>
    </w:tbl>
    <w:p>
      <w:pPr>
        <w:pStyle w:val="Heading2"/>
      </w:pPr>
      <w:r>
        <w:t>What is already product-like</w:t>
      </w:r>
    </w:p>
    <w:p>
      <w:pPr>
        <w:pStyle w:val="ListBullet"/>
        <w:spacing w:before="0" w:after="6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Real English and Tamil calls through the active production call path.</w:t>
      </w:r>
    </w:p>
    <w:p>
      <w:pPr>
        <w:pStyle w:val="ListBullet"/>
        <w:spacing w:before="0" w:after="6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Individual calling and bulk calling from Google Sheets.</w:t>
      </w:r>
    </w:p>
    <w:p>
      <w:pPr>
        <w:pStyle w:val="ListBullet"/>
        <w:spacing w:before="0" w:after="6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Do-not-call suppression controls before calls and campaign advancement.</w:t>
      </w:r>
    </w:p>
    <w:p>
      <w:pPr>
        <w:pStyle w:val="ListBullet"/>
        <w:spacing w:before="0" w:after="6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Recordings, transcripts, summaries, outcomes, and cost tracking.</w:t>
      </w:r>
    </w:p>
    <w:p>
      <w:pPr>
        <w:pStyle w:val="ListBullet"/>
        <w:spacing w:before="0" w:after="6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Provider webhook validation and idempotent lifecycle handling.</w:t>
      </w:r>
    </w:p>
    <w:p>
      <w:pPr>
        <w:pStyle w:val="ListBullet"/>
        <w:spacing w:before="0" w:after="6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Automatic inactivity termination for abandoned or silent calls.</w:t>
      </w:r>
    </w:p>
    <w:p>
      <w:pPr>
        <w:pStyle w:val="ListBullet"/>
        <w:spacing w:before="0" w:after="6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Tests covering important conversation and call-lifecycle behavior.</w:t>
      </w:r>
    </w:p>
    <w:p>
      <w:pPr>
        <w:pStyle w:val="ListBullet"/>
        <w:spacing w:before="0" w:after="6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A working frontend with campaign and call visibility.</w:t>
      </w:r>
    </w:p>
    <w:p>
      <w:r>
        <w:br w:type="page"/>
      </w:r>
    </w:p>
    <w:p>
      <w:pPr>
        <w:pStyle w:val="Heading1"/>
      </w:pPr>
      <w:r>
        <w:t>2. Production blockers and required outcomes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DECEC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9B1C1C"/>
                <w:sz w:val="18"/>
              </w:rPr>
              <w:t>HIGHEST-RISK AREA</w:t>
            </w:r>
          </w:p>
          <w:p>
            <w:pPr>
              <w:spacing w:after="0" w:line="264" w:lineRule="auto"/>
            </w:pPr>
            <w:r>
              <w:rPr>
                <w:rFonts w:ascii="Arial" w:hAnsi="Arial"/>
                <w:b/>
                <w:i w:val="0"/>
                <w:color w:val="1F2937"/>
                <w:sz w:val="22"/>
              </w:rPr>
              <w:t>Authentication and organization-level data isolation must be completed before multiple independent customers are onboarded.</w:t>
            </w:r>
          </w:p>
        </w:tc>
      </w:tr>
    </w:tbl>
    <w:p>
      <w:pPr>
        <w:spacing w:after="20"/>
      </w:pPr>
    </w:p>
    <w:p>
      <w:pPr>
        <w:pStyle w:val="Heading2"/>
      </w:pPr>
      <w:r>
        <w:t>A. Authentication and data isolation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Current gap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Required product outcome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Private API protection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Several application routes are not consistently protected.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Require authenticated access for every private endpoint.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Tenant isolation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organization_id = 1 is hardcoded in parts of the application.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Derive organization context from the authenticated identity.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Query scoping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Database queries are not consistently scoped to an organization.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Enforce organization filters in every customer, call, campaign, and reporting query.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Account protection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Login lockout is represented in the schema but not enforced.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Add lockout, rate limits, secure session handling, and audit trails.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Credential isolation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Provider credentials are shared through environment configuration.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managed secrets now; introduce per-tenant credentials before SaaS expansion.</w:t>
            </w:r>
          </w:p>
        </w:tc>
      </w:tr>
    </w:tbl>
    <w:p>
      <w:pPr>
        <w:pStyle w:val="Heading2"/>
      </w:pPr>
      <w:r>
        <w:t>B. Production infrastructure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Stable production domain with TLS ingress; remove dependence on temporary tunnel URLs.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Managed MySQL with automated backups, restore testing, and documented recovery objectives.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Repeatable backend deployment and independently hosted frontend.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Managed secret storage for Plivo, OpenAI, Google, database, and application credentials.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Health and readiness endpoints connected to deployment monitoring.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Versioned release process with a tested rollback procedure.</w:t>
      </w:r>
    </w:p>
    <w:p>
      <w:pPr>
        <w:pStyle w:val="Heading2"/>
      </w:pPr>
      <w:r>
        <w:t>C. CI and reproducible builds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A dependency manifest now exists, but most dependencies are not pinned and there is no continuous integration workflow. Every push should run the backend test suite and frontend production build automatically.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Backend quality gate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python -m unittest discover -s tests -q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Frontend quality gate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npm run build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Build reproducibility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Pin production dependencies and document supported runtime versions</w:t>
            </w:r>
          </w:p>
        </w:tc>
      </w:tr>
    </w:tbl>
    <w:p>
      <w:r>
        <w:br w:type="page"/>
      </w:r>
    </w:p>
    <w:p>
      <w:pPr>
        <w:pStyle w:val="Heading1"/>
      </w:pPr>
      <w:r>
        <w:t>3. Reliability at campaign scale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Bulk calling works in current testing. Product readiness requires proof that campaigns remain correct when the lead count grows and when processes, networks, providers, or Google Sheets fail during execution.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680"/>
        <w:gridCol w:w="378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Test area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Required result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Volume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Run representative campaigns of 100-1,000 leads.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missed, duplicated, or out-of-order calls.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Restart recovery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Restart the application while a campaign is active.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Campaign resumes safely from durable state.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Provider/network failure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Inject Plivo, OpenAI, and network failures.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Calls finalize correctly and retries follow policy.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Pause and resume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Pause during active and queued work, then resume.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new call escapes the pause; queue continues once.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Sheet write failure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Reject or time out Google Sheet updates.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Failure is visible, retryable, and does not duplicate calls.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Rate limiting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Exercise provider and API limits.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Backoff protects the queue and external services.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Suppression under load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Suppress leads before and during campaign processing.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suppressed customer is dialed.</w:t>
            </w:r>
          </w:p>
        </w:tc>
      </w:tr>
    </w:tbl>
    <w:p>
      <w:pPr>
        <w:pStyle w:val="Heading1"/>
      </w:pPr>
      <w:r>
        <w:t>4. Monitoring and operational readiness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Structured logs with correlation IDs spanning campaign, call, provider, and AI session events.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Alerts for call failures, dead-air calls, abnormal hangups, and stuck campaigns.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Connection monitoring for OpenAI Realtime and Plivo webhooks/media streams.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Campaign success, failure, retry, duration, answer-rate, and completion metrics.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Cost, quota, and unusual-usage alerts across AI and telephony providers.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Verified database backups plus documented incident response and recovery procedures.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6D9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8A6400"/>
                <w:sz w:val="18"/>
              </w:rPr>
              <w:t>OPERATIONAL PRINCIPLE</w:t>
            </w:r>
          </w:p>
          <w:p>
            <w:pPr>
              <w:spacing w:after="0" w:line="264" w:lineRule="auto"/>
            </w:pPr>
            <w:r>
              <w:rPr>
                <w:rFonts w:ascii="Arial" w:hAnsi="Arial"/>
                <w:b/>
                <w:i w:val="0"/>
                <w:color w:val="1F2937"/>
                <w:sz w:val="22"/>
              </w:rPr>
              <w:t>A product is not only able to place calls; the team must be able to detect failure, explain what happened, recover safely, and control cost.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Legal, privacy, and compliance readiness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Before commercially calling real customer lists, the business must define and implement the following controls. Applicable Indian telemarketing and privacy obligations should be reviewed by qualified counsel; this plan is not legal advice.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Clear disclosure that the caller is an AI voice assistant.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Call-recording disclosure and a documented consent approach.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Permitted calling hours and geographic policy enforcement.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Do-not-call handling, suppression retention, and complaint escalation.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Published Privacy Policy and Terms of Service.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Defined retention periods for recordings, transcripts, summaries, and logs.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Customer-data deletion workflow and proof of deletion.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" w:hAnsi="Arial"/>
          <w:b w:val="0"/>
          <w:i w:val="0"/>
          <w:color w:val="1F2937"/>
          <w:sz w:val="21"/>
        </w:rPr>
        <w:t>Role-based access to recordings, transcripts, exports, and administrative actions.</w:t>
      </w:r>
    </w:p>
    <w:p>
      <w:pPr>
        <w:pStyle w:val="Heading1"/>
      </w:pPr>
      <w:r>
        <w:t>6. Recommended delivery roadmap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500"/>
        <w:gridCol w:w="5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Objective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Primary scope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2A7F8E"/>
                <w:sz w:val="18"/>
              </w:rPr>
              <w:t>Phase 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Secure foundation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Authentication, organization scoping, dependency pinning, CI, secrets, managed database, backup/restore, stable hosting.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2A7F8E"/>
                <w:sz w:val="18"/>
              </w:rPr>
              <w:t>Phase 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Reliable production pilot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Structured monitoring, failure recovery, 100+ lead campaign validation, bilingual live-call checklist, runbooks, rollback.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2A7F8E"/>
                <w:sz w:val="18"/>
              </w:rPr>
              <w:t>Phase 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Controlled commercial operation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Policies, support ownership, cost controls, retention/deletion, onboarding checklist, pilot review and sign-off.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2A7F8E"/>
                <w:sz w:val="18"/>
              </w:rPr>
              <w:t>Phase 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Multi-tenant SaaS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RBAC, complete tenant isolation, per-tenant credentials, quotas and billing, audit logs, tenant onboarding and retention controls.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6F5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A7F8E"/>
                <w:sz w:val="18"/>
              </w:rPr>
              <w:t>SCOPE DISCIPLINE</w:t>
            </w:r>
          </w:p>
          <w:p>
            <w:pPr>
              <w:spacing w:after="0" w:line="264" w:lineRule="auto"/>
            </w:pPr>
            <w:r>
              <w:rPr>
                <w:rFonts w:ascii="Arial" w:hAnsi="Arial"/>
                <w:b/>
                <w:i w:val="0"/>
                <w:color w:val="1F2937"/>
                <w:sz w:val="22"/>
              </w:rPr>
              <w:t>Do not rebuild the voice pipeline. Harden the working path, measure it, operate it safely, and expand only after the pilot gate is passed.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First product milestone: acceptance gate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The controlled single-tenant production pilot should not be considered complete until all mandatory criteria below are evidenced and signed off.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6260"/>
        <w:gridCol w:w="14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Acceptance evidence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Security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All private APIs require authentication; organization context is enforced; secrets are managed.</w:t>
            </w:r>
          </w:p>
        </w:tc>
        <w:tc>
          <w:tcPr>
            <w:tcW w:type="dxa" w:w="140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8A6400"/>
                <w:sz w:val="17"/>
              </w:rPr>
              <w:t>Mandatory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Infrastructure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Stable hosted environment, TLS, managed database, tested backups, health checks, and rollback.</w:t>
            </w:r>
          </w:p>
        </w:tc>
        <w:tc>
          <w:tcPr>
            <w:tcW w:type="dxa" w:w="140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8A6400"/>
                <w:sz w:val="17"/>
              </w:rPr>
              <w:t>Mandatory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Quality gates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Pinned dependencies and CI run backend tests plus frontend build on every push.</w:t>
            </w:r>
          </w:p>
        </w:tc>
        <w:tc>
          <w:tcPr>
            <w:tcW w:type="dxa" w:w="140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8A6400"/>
                <w:sz w:val="17"/>
              </w:rPr>
              <w:t>Mandatory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Campaign proof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100+ lead campaign completes without critical call, queue, suppression, or duplicate failures.</w:t>
            </w:r>
          </w:p>
        </w:tc>
        <w:tc>
          <w:tcPr>
            <w:tcW w:type="dxa" w:w="140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8A6400"/>
                <w:sz w:val="17"/>
              </w:rPr>
              <w:t>Mandatory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Bilingual QA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English and Tamil live-call checklist passes for volume, clarity, brevity, silence handling, and termination.</w:t>
            </w:r>
          </w:p>
        </w:tc>
        <w:tc>
          <w:tcPr>
            <w:tcW w:type="dxa" w:w="140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8A6400"/>
                <w:sz w:val="17"/>
              </w:rPr>
              <w:t>Mandatory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Operations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Monitoring, alerting, incident response, recovery, cost controls, and named ownership are active.</w:t>
            </w:r>
          </w:p>
        </w:tc>
        <w:tc>
          <w:tcPr>
            <w:tcW w:type="dxa" w:w="140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8A6400"/>
                <w:sz w:val="17"/>
              </w:rPr>
              <w:t>Mandatory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8"/>
              </w:rPr>
              <w:t>Compliance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Disclosure, recording, calling-hours, DNC, privacy, retention, and deletion policies are approved.</w:t>
            </w:r>
          </w:p>
        </w:tc>
        <w:tc>
          <w:tcPr>
            <w:tcW w:type="dxa" w:w="140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8A6400"/>
                <w:sz w:val="17"/>
              </w:rPr>
              <w:t>Mandatory</w:t>
            </w:r>
          </w:p>
        </w:tc>
      </w:tr>
    </w:tbl>
    <w:p>
      <w:pPr>
        <w:pStyle w:val="Heading1"/>
      </w:pPr>
      <w:r>
        <w:t>8. Ownership and approval requested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Product 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Approve target state, pilot scope, acceptance gate, and customer eligibility.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Engineering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Deliver security, infrastructure, reliability, CI, monitoring, and technical evidence.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Operations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Own campaign runbooks, incident response, provider escalation, and cost oversight.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i w:val="0"/>
                <w:color w:val="17365D"/>
                <w:sz w:val="19"/>
              </w:rPr>
              <w:t>Legal / compliance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Review disclosures, consent, calling policy, privacy, retention, and Indian requirements.</w:t>
            </w:r>
          </w:p>
        </w:tc>
      </w:tr>
    </w:tbl>
    <w:p>
      <w:pPr>
        <w:pStyle w:val="Heading2"/>
      </w:pPr>
      <w:r>
        <w:t>Final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CONCLUSION</w:t>
            </w:r>
          </w:p>
          <w:p>
            <w:pPr>
              <w:spacing w:after="0" w:line="264" w:lineRule="auto"/>
            </w:pPr>
            <w:r>
              <w:rPr>
                <w:rFonts w:ascii="Arial" w:hAnsi="Arial"/>
                <w:b/>
                <w:i w:val="0"/>
                <w:color w:val="1F2937"/>
                <w:sz w:val="22"/>
              </w:rPr>
              <w:t>DigiDARA should be treated as a working, pilot-ready MVP - not a disposable prototype and not yet a finished commercial product. The next stage is disciplined product hardening around the proven bilingual voice workflow.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B6573"/>
        <w:sz w:val="17"/>
      </w:rPr>
      <w:t xml:space="preserve">DigiDARA Productization Plan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000"/>
      <w:gridCol w:w="3360"/>
    </w:tblGrid>
    <w:tr>
      <w:tc>
        <w:tcPr>
          <w:tcW w:type="dxa" w:w="6000"/>
          <w:tcMar>
            <w:top w:w="0" w:type="dxa"/>
            <w:start w:w="0" w:type="dxa"/>
            <w:bottom w:w="40" w:type="dxa"/>
            <w:end w:w="0" w:type="dxa"/>
          </w:tcMar>
          <w:vAlign w:val="center"/>
          <w:shd w:fill="FFFFFF"/>
        </w:tcPr>
        <w:p>
          <w:pPr>
            <w:spacing w:before="0" w:after="0" w:line="252" w:lineRule="auto"/>
          </w:pPr>
          <w:r/>
          <w:r>
            <w:rPr>
              <w:rFonts w:ascii="Arial" w:hAnsi="Arial"/>
              <w:b/>
              <w:i w:val="0"/>
              <w:color w:val="17365D"/>
              <w:sz w:val="17"/>
            </w:rPr>
            <w:t>DIGIDARA  |  PRODUCTIZATION PLAN</w:t>
          </w:r>
        </w:p>
      </w:tc>
      <w:tc>
        <w:tcPr>
          <w:tcW w:type="dxa" w:w="3360"/>
          <w:tcMar>
            <w:top w:w="0" w:type="dxa"/>
            <w:start w:w="0" w:type="dxa"/>
            <w:bottom w:w="40" w:type="dxa"/>
            <w:end w:w="0" w:type="dxa"/>
          </w:tcMar>
          <w:vAlign w:val="center"/>
          <w:shd w:fill="FFFFFF"/>
        </w:tcPr>
        <w:p>
          <w:pPr>
            <w:spacing w:before="0" w:after="0" w:line="252" w:lineRule="auto"/>
            <w:jc w:val="right"/>
          </w:pPr>
          <w:r/>
          <w:r>
            <w:rPr>
              <w:rFonts w:ascii="Arial" w:hAnsi="Arial"/>
              <w:b/>
              <w:i w:val="0"/>
              <w:color w:val="5B6573"/>
              <w:sz w:val="17"/>
            </w:rPr>
            <w:t>OWNER BRIEF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80" w:lineRule="auto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DigiDARA Productization Plan</dc:title>
  <dc:subject>Plan to convert DigiDARA from a pilot-ready MVP into a standalone commercial product</dc:subject>
  <dc:creator>DigiDARA Engineering Team</dc:creator>
  <cp:keywords>DigiDARA, AI voice assistant, productization, production readiness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