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B09C" w14:textId="7588091C" w:rsidR="00F719AE" w:rsidRDefault="00925A66">
      <w:pPr>
        <w:rPr>
          <w:sz w:val="24"/>
          <w:szCs w:val="24"/>
        </w:rPr>
      </w:pPr>
      <w:r w:rsidRPr="003F2746">
        <w:rPr>
          <w:b/>
          <w:bCs/>
          <w:sz w:val="24"/>
          <w:szCs w:val="24"/>
        </w:rPr>
        <w:t>M. E. Braddon</w:t>
      </w:r>
      <w:r w:rsidR="007625EF">
        <w:rPr>
          <w:b/>
          <w:bCs/>
          <w:sz w:val="24"/>
          <w:szCs w:val="24"/>
        </w:rPr>
        <w:t xml:space="preserve"> (1835-1915)</w:t>
      </w:r>
    </w:p>
    <w:p w14:paraId="38F2E616" w14:textId="3A2BAED1" w:rsidR="007625EF" w:rsidRDefault="007625EF" w:rsidP="007625EF">
      <w:pPr>
        <w:spacing w:line="276" w:lineRule="auto"/>
        <w:rPr>
          <w:rFonts w:cstheme="minorHAnsi"/>
          <w:color w:val="403121"/>
          <w:sz w:val="24"/>
          <w:szCs w:val="24"/>
        </w:rPr>
      </w:pPr>
      <w:r>
        <w:rPr>
          <w:rFonts w:cstheme="minorHAnsi"/>
          <w:color w:val="403121"/>
          <w:sz w:val="24"/>
          <w:szCs w:val="24"/>
        </w:rPr>
        <w:t xml:space="preserve">Acknowledged in her lifetime as </w:t>
      </w:r>
      <w:r w:rsidRPr="007625EF">
        <w:rPr>
          <w:rFonts w:cstheme="minorHAnsi"/>
          <w:color w:val="403121"/>
          <w:sz w:val="24"/>
          <w:szCs w:val="24"/>
        </w:rPr>
        <w:t>‘the Queen of the Circulating Libraries’</w:t>
      </w:r>
      <w:r>
        <w:rPr>
          <w:rFonts w:cstheme="minorHAnsi"/>
          <w:color w:val="403121"/>
          <w:sz w:val="24"/>
          <w:szCs w:val="24"/>
        </w:rPr>
        <w:t>, [Mary Braddon](</w:t>
      </w:r>
      <w:r w:rsidRPr="007625EF">
        <w:t xml:space="preserve"> </w:t>
      </w:r>
      <w:hyperlink r:id="rId7" w:history="1">
        <w:r w:rsidRPr="00390EE3">
          <w:rPr>
            <w:rStyle w:val="Hyperlink"/>
            <w:rFonts w:cstheme="minorHAnsi"/>
            <w:sz w:val="24"/>
            <w:szCs w:val="24"/>
          </w:rPr>
          <w:t>https://maryelizabethbraddon.com/</w:t>
        </w:r>
      </w:hyperlink>
      <w:r>
        <w:rPr>
          <w:rFonts w:cstheme="minorHAnsi"/>
          <w:color w:val="403121"/>
          <w:sz w:val="24"/>
          <w:szCs w:val="24"/>
        </w:rPr>
        <w:t>) is still best known for her 1862 sensation novel _Lady Audley’s Secret_ and only slightly less so for her unconventional domestic life</w:t>
      </w:r>
      <w:r w:rsidR="005D1F81">
        <w:rPr>
          <w:rFonts w:cstheme="minorHAnsi"/>
          <w:color w:val="403121"/>
          <w:sz w:val="24"/>
          <w:szCs w:val="24"/>
        </w:rPr>
        <w:t xml:space="preserve"> as the unmarried partner of publisher John Maxwell. </w:t>
      </w:r>
      <w:r w:rsidR="00283E59">
        <w:rPr>
          <w:rFonts w:cstheme="minorHAnsi"/>
          <w:color w:val="403121"/>
          <w:sz w:val="24"/>
          <w:szCs w:val="24"/>
        </w:rPr>
        <w:t>Having met in 1860, t</w:t>
      </w:r>
      <w:r w:rsidR="005D1F81">
        <w:rPr>
          <w:rFonts w:cstheme="minorHAnsi"/>
          <w:color w:val="403121"/>
          <w:sz w:val="24"/>
          <w:szCs w:val="24"/>
        </w:rPr>
        <w:t xml:space="preserve">he couple were only able to marry in 1874 on the death of </w:t>
      </w:r>
      <w:r w:rsidR="00283E59">
        <w:rPr>
          <w:rFonts w:cstheme="minorHAnsi"/>
          <w:color w:val="403121"/>
          <w:sz w:val="24"/>
          <w:szCs w:val="24"/>
        </w:rPr>
        <w:t>Maxwell’s</w:t>
      </w:r>
      <w:r w:rsidR="005D1F81">
        <w:rPr>
          <w:rFonts w:cstheme="minorHAnsi"/>
          <w:color w:val="403121"/>
          <w:sz w:val="24"/>
          <w:szCs w:val="24"/>
        </w:rPr>
        <w:t xml:space="preserve"> insane first wife, making Braddon the legal stepmother of </w:t>
      </w:r>
      <w:r w:rsidR="005D1F81">
        <w:rPr>
          <w:rFonts w:cstheme="minorHAnsi"/>
          <w:color w:val="403121"/>
          <w:sz w:val="24"/>
          <w:szCs w:val="24"/>
        </w:rPr>
        <w:t>his five children</w:t>
      </w:r>
      <w:r w:rsidR="005D1F81">
        <w:rPr>
          <w:rFonts w:cstheme="minorHAnsi"/>
          <w:color w:val="403121"/>
          <w:sz w:val="24"/>
          <w:szCs w:val="24"/>
        </w:rPr>
        <w:t>. They also had six children together.</w:t>
      </w:r>
    </w:p>
    <w:p w14:paraId="1698DED3" w14:textId="55D89508" w:rsidR="005D1F81" w:rsidRPr="00283E59" w:rsidRDefault="00283E59" w:rsidP="005D1F81">
      <w:pPr>
        <w:spacing w:line="276" w:lineRule="auto"/>
        <w:rPr>
          <w:rFonts w:cstheme="minorHAnsi"/>
          <w:color w:val="403121"/>
          <w:sz w:val="24"/>
          <w:szCs w:val="24"/>
        </w:rPr>
      </w:pPr>
      <w:r>
        <w:rPr>
          <w:rFonts w:cstheme="minorHAnsi"/>
          <w:color w:val="403121"/>
          <w:sz w:val="24"/>
          <w:szCs w:val="24"/>
        </w:rPr>
        <w:t>The family lived in Richmond, but i</w:t>
      </w:r>
      <w:r w:rsidR="005D1F81">
        <w:rPr>
          <w:rFonts w:cstheme="minorHAnsi"/>
          <w:color w:val="403121"/>
          <w:sz w:val="24"/>
          <w:szCs w:val="24"/>
        </w:rPr>
        <w:t xml:space="preserve">n 1878 </w:t>
      </w:r>
      <w:r>
        <w:rPr>
          <w:rFonts w:cstheme="minorHAnsi"/>
          <w:color w:val="403121"/>
          <w:sz w:val="24"/>
          <w:szCs w:val="24"/>
        </w:rPr>
        <w:t>they were in Broadstairs ‘</w:t>
      </w:r>
      <w:r>
        <w:rPr>
          <w:sz w:val="24"/>
          <w:szCs w:val="24"/>
        </w:rPr>
        <w:t>for a week or so with children who have been ill, &amp; who are in need of strengthening breezes.’</w:t>
      </w:r>
      <w:r w:rsidR="005D1F81">
        <w:rPr>
          <w:rStyle w:val="FootnoteReference"/>
          <w:sz w:val="24"/>
          <w:szCs w:val="24"/>
        </w:rPr>
        <w:footnoteReference w:id="1"/>
      </w:r>
      <w:r w:rsidR="00DB1E42">
        <w:rPr>
          <w:sz w:val="24"/>
          <w:szCs w:val="24"/>
        </w:rPr>
        <w:t xml:space="preserve"> Like the parents of [Emily Shore](</w:t>
      </w:r>
      <w:r w:rsidR="00DB1E42" w:rsidRPr="00DB1E42">
        <w:rPr>
          <w:sz w:val="24"/>
          <w:szCs w:val="24"/>
        </w:rPr>
        <w:t>19c/19c-shore-biography</w:t>
      </w:r>
      <w:r w:rsidR="00DB1E42">
        <w:rPr>
          <w:sz w:val="24"/>
          <w:szCs w:val="24"/>
        </w:rPr>
        <w:t xml:space="preserve">) almost half a century earlier, Braddon was clearly persuaded of the benefits of sea air as a restorative for invalids.  </w:t>
      </w:r>
    </w:p>
    <w:p w14:paraId="4E72C7D9" w14:textId="33F9565D" w:rsidR="00DB1E42" w:rsidRDefault="00DB1E42" w:rsidP="007625EF">
      <w:pPr>
        <w:spacing w:line="276" w:lineRule="auto"/>
        <w:rPr>
          <w:sz w:val="24"/>
          <w:szCs w:val="24"/>
        </w:rPr>
      </w:pPr>
      <w:r>
        <w:rPr>
          <w:rFonts w:cstheme="minorHAnsi"/>
          <w:sz w:val="24"/>
          <w:szCs w:val="24"/>
        </w:rPr>
        <w:t>But her in her novels Thanet is referenced as a</w:t>
      </w:r>
      <w:r w:rsidR="001E2FB1">
        <w:rPr>
          <w:rFonts w:cstheme="minorHAnsi"/>
          <w:sz w:val="24"/>
          <w:szCs w:val="24"/>
        </w:rPr>
        <w:t xml:space="preserve"> somewhat unadventurous </w:t>
      </w:r>
      <w:r>
        <w:rPr>
          <w:rFonts w:cstheme="minorHAnsi"/>
          <w:sz w:val="24"/>
          <w:szCs w:val="24"/>
        </w:rPr>
        <w:t>holiday location. In the 1880 _Barbara_ a mother and daughter</w:t>
      </w:r>
      <w:r w:rsidR="00FB3E01">
        <w:rPr>
          <w:rFonts w:cstheme="minorHAnsi"/>
          <w:sz w:val="24"/>
          <w:szCs w:val="24"/>
        </w:rPr>
        <w:t xml:space="preserve"> enjoy ‘</w:t>
      </w:r>
      <w:r>
        <w:rPr>
          <w:sz w:val="24"/>
          <w:szCs w:val="24"/>
        </w:rPr>
        <w:t xml:space="preserve">a delightful change of air at quiet little Broadstairs, with alternations of gaiety at </w:t>
      </w:r>
      <w:r w:rsidR="00FB3E01">
        <w:rPr>
          <w:sz w:val="24"/>
          <w:szCs w:val="24"/>
        </w:rPr>
        <w:t>[</w:t>
      </w:r>
      <w:r>
        <w:rPr>
          <w:sz w:val="24"/>
          <w:szCs w:val="24"/>
        </w:rPr>
        <w:t>Margate</w:t>
      </w:r>
      <w:r w:rsidR="00FB3E01">
        <w:rPr>
          <w:sz w:val="24"/>
          <w:szCs w:val="24"/>
        </w:rPr>
        <w:t>](</w:t>
      </w:r>
      <w:r w:rsidR="00FB3E01" w:rsidRPr="00FB3E01">
        <w:t xml:space="preserve"> </w:t>
      </w:r>
      <w:r w:rsidR="00FB3E01" w:rsidRPr="00FB3E01">
        <w:rPr>
          <w:sz w:val="24"/>
          <w:szCs w:val="24"/>
        </w:rPr>
        <w:t>/dickens/19c-margate</w:t>
      </w:r>
      <w:r w:rsidR="00FB3E01">
        <w:rPr>
          <w:sz w:val="24"/>
          <w:szCs w:val="24"/>
        </w:rPr>
        <w:t>)</w:t>
      </w:r>
      <w:r>
        <w:rPr>
          <w:sz w:val="24"/>
          <w:szCs w:val="24"/>
        </w:rPr>
        <w:t xml:space="preserve"> and </w:t>
      </w:r>
      <w:r w:rsidR="00FB3E01">
        <w:rPr>
          <w:sz w:val="24"/>
          <w:szCs w:val="24"/>
        </w:rPr>
        <w:t>[</w:t>
      </w:r>
      <w:r>
        <w:rPr>
          <w:sz w:val="24"/>
          <w:szCs w:val="24"/>
        </w:rPr>
        <w:t>Ramsgate</w:t>
      </w:r>
      <w:r w:rsidR="00FB3E01">
        <w:rPr>
          <w:sz w:val="24"/>
          <w:szCs w:val="24"/>
        </w:rPr>
        <w:t>](</w:t>
      </w:r>
      <w:r w:rsidR="00FB3E01" w:rsidRPr="00FB3E01">
        <w:rPr>
          <w:sz w:val="24"/>
          <w:szCs w:val="24"/>
        </w:rPr>
        <w:t>dickens/19c-ramsgate</w:t>
      </w:r>
      <w:r w:rsidR="00FB3E01">
        <w:rPr>
          <w:sz w:val="24"/>
          <w:szCs w:val="24"/>
        </w:rPr>
        <w:t>)</w:t>
      </w:r>
      <w:r>
        <w:rPr>
          <w:sz w:val="24"/>
          <w:szCs w:val="24"/>
        </w:rPr>
        <w:t>’</w:t>
      </w:r>
      <w:r w:rsidR="00FB3E01">
        <w:rPr>
          <w:sz w:val="24"/>
          <w:szCs w:val="24"/>
        </w:rPr>
        <w:t xml:space="preserve">. </w:t>
      </w:r>
    </w:p>
    <w:p w14:paraId="05C04433" w14:textId="59DF2DF2" w:rsidR="00FB3E01" w:rsidRDefault="00FB3E01" w:rsidP="00FB3E01">
      <w:pPr>
        <w:rPr>
          <w:sz w:val="24"/>
          <w:szCs w:val="24"/>
        </w:rPr>
      </w:pPr>
      <w:r>
        <w:rPr>
          <w:sz w:val="24"/>
          <w:szCs w:val="24"/>
        </w:rPr>
        <w:t>_</w:t>
      </w:r>
      <w:r>
        <w:rPr>
          <w:i/>
          <w:iCs/>
          <w:sz w:val="24"/>
          <w:szCs w:val="24"/>
        </w:rPr>
        <w:t>Gerard, or, The World, The Flesh and The Devil</w:t>
      </w:r>
      <w:r>
        <w:rPr>
          <w:sz w:val="24"/>
          <w:szCs w:val="24"/>
        </w:rPr>
        <w:t>_</w:t>
      </w:r>
      <w:r>
        <w:rPr>
          <w:sz w:val="24"/>
          <w:szCs w:val="24"/>
        </w:rPr>
        <w:t xml:space="preserve"> (1891)</w:t>
      </w:r>
      <w:r>
        <w:rPr>
          <w:sz w:val="24"/>
          <w:szCs w:val="24"/>
        </w:rPr>
        <w:t xml:space="preserve"> whimsically suggests that a character </w:t>
      </w:r>
      <w:r>
        <w:rPr>
          <w:sz w:val="24"/>
          <w:szCs w:val="24"/>
        </w:rPr>
        <w:t>who spends the summer in ‘some Bad in Bohemia’,</w:t>
      </w:r>
      <w:r>
        <w:rPr>
          <w:sz w:val="24"/>
          <w:szCs w:val="24"/>
        </w:rPr>
        <w:t xml:space="preserve"> identified only as ‘</w:t>
      </w:r>
      <w:r>
        <w:rPr>
          <w:sz w:val="24"/>
          <w:szCs w:val="24"/>
        </w:rPr>
        <w:t>a Bad with a crackjaw name</w:t>
      </w:r>
      <w:r>
        <w:rPr>
          <w:sz w:val="24"/>
          <w:szCs w:val="24"/>
        </w:rPr>
        <w:t>’, never gets further than the Thanet coast:</w:t>
      </w:r>
    </w:p>
    <w:p w14:paraId="52961B34" w14:textId="0474D18B" w:rsidR="00FB3E01" w:rsidRDefault="00FB3E01" w:rsidP="00FB3E01">
      <w:pPr>
        <w:ind w:left="720"/>
        <w:rPr>
          <w:sz w:val="24"/>
          <w:szCs w:val="24"/>
        </w:rPr>
      </w:pPr>
      <w:r>
        <w:rPr>
          <w:sz w:val="24"/>
          <w:szCs w:val="24"/>
        </w:rPr>
        <w:t>I believe he invents a name and a Bad every summer, and then goes quietly and lives up the country between Broadstairs and Birchington, and basks all day upon some solitary stretch of sand, or on the edge of some lonely cliff, where the North sea breezes blow above the rippling whiteness of the wheat; and lies in the sunshine, and plans fresh impostures for the winter season.</w:t>
      </w:r>
    </w:p>
    <w:p w14:paraId="2CB60A09" w14:textId="5A0E1A8B" w:rsidR="00FB3E01" w:rsidRDefault="00FB3E01" w:rsidP="00FB3E01">
      <w:pPr>
        <w:rPr>
          <w:sz w:val="24"/>
          <w:szCs w:val="24"/>
        </w:rPr>
      </w:pPr>
    </w:p>
    <w:p w14:paraId="5C7AAE16" w14:textId="24F7D37E" w:rsidR="0013297D" w:rsidRPr="0013297D" w:rsidRDefault="0013297D" w:rsidP="0013297D">
      <w:pPr>
        <w:rPr>
          <w:rFonts w:eastAsia="Times New Roman" w:cstheme="minorHAnsi"/>
          <w:color w:val="000000"/>
          <w:sz w:val="24"/>
          <w:szCs w:val="24"/>
          <w:lang w:eastAsia="en-GB"/>
        </w:rPr>
      </w:pPr>
      <w:r w:rsidRPr="0013297D">
        <w:rPr>
          <w:rFonts w:cstheme="minorHAnsi"/>
          <w:sz w:val="24"/>
          <w:szCs w:val="24"/>
        </w:rPr>
        <w:t>[</w:t>
      </w:r>
      <w:r w:rsidR="001E2FB1" w:rsidRPr="0013297D">
        <w:rPr>
          <w:rFonts w:cstheme="minorHAnsi"/>
          <w:sz w:val="24"/>
          <w:szCs w:val="24"/>
        </w:rPr>
        <w:t>_</w:t>
      </w:r>
      <w:r w:rsidR="001E2FB1" w:rsidRPr="0013297D">
        <w:rPr>
          <w:rFonts w:cstheme="minorHAnsi"/>
          <w:i/>
          <w:iCs/>
          <w:sz w:val="24"/>
          <w:szCs w:val="24"/>
        </w:rPr>
        <w:t>All Along the River</w:t>
      </w:r>
      <w:r w:rsidR="001E2FB1" w:rsidRPr="0013297D">
        <w:rPr>
          <w:rFonts w:cstheme="minorHAnsi"/>
          <w:sz w:val="24"/>
          <w:szCs w:val="24"/>
        </w:rPr>
        <w:t>_</w:t>
      </w:r>
      <w:r w:rsidRPr="0013297D">
        <w:rPr>
          <w:rFonts w:cstheme="minorHAnsi"/>
          <w:sz w:val="24"/>
          <w:szCs w:val="24"/>
        </w:rPr>
        <w:t>](</w:t>
      </w:r>
      <w:hyperlink r:id="rId8" w:history="1">
        <w:r w:rsidRPr="0013297D">
          <w:rPr>
            <w:rStyle w:val="Hyperlink"/>
            <w:rFonts w:eastAsia="Times New Roman" w:cstheme="minorHAnsi"/>
            <w:sz w:val="24"/>
            <w:szCs w:val="24"/>
            <w:lang w:eastAsia="en-GB"/>
          </w:rPr>
          <w:t>http://www.gutenberg.org/files/57405/57405-h/57405-h.htm</w:t>
        </w:r>
      </w:hyperlink>
    </w:p>
    <w:p w14:paraId="6FC987FD" w14:textId="6975735C" w:rsidR="001E2FB1" w:rsidRDefault="0013297D" w:rsidP="001E2FB1">
      <w:pPr>
        <w:rPr>
          <w:sz w:val="24"/>
          <w:szCs w:val="24"/>
        </w:rPr>
      </w:pPr>
      <w:r w:rsidRPr="0013297D">
        <w:rPr>
          <w:rFonts w:cstheme="minorHAnsi"/>
          <w:sz w:val="24"/>
          <w:szCs w:val="24"/>
        </w:rPr>
        <w:t>)</w:t>
      </w:r>
      <w:r w:rsidR="001E2FB1" w:rsidRPr="0013297D">
        <w:rPr>
          <w:rFonts w:cstheme="minorHAnsi"/>
          <w:sz w:val="24"/>
          <w:szCs w:val="24"/>
        </w:rPr>
        <w:t xml:space="preserve"> (1893)</w:t>
      </w:r>
      <w:r w:rsidR="001E2FB1" w:rsidRPr="0013297D">
        <w:rPr>
          <w:rFonts w:cstheme="minorHAnsi"/>
          <w:sz w:val="24"/>
          <w:szCs w:val="24"/>
        </w:rPr>
        <w:t xml:space="preserve"> invokes [Broadstairs](</w:t>
      </w:r>
      <w:r w:rsidR="001E2FB1" w:rsidRPr="0013297D">
        <w:rPr>
          <w:rFonts w:cstheme="minorHAnsi"/>
          <w:sz w:val="24"/>
          <w:szCs w:val="24"/>
        </w:rPr>
        <w:t>dickens/broadstairs-19th-century</w:t>
      </w:r>
      <w:r w:rsidR="001E2FB1" w:rsidRPr="0013297D">
        <w:rPr>
          <w:rFonts w:cstheme="minorHAnsi"/>
          <w:sz w:val="24"/>
          <w:szCs w:val="24"/>
        </w:rPr>
        <w:t>) only as a foil to the sublime</w:t>
      </w:r>
      <w:r w:rsidR="001E2FB1">
        <w:rPr>
          <w:sz w:val="24"/>
          <w:szCs w:val="24"/>
        </w:rPr>
        <w:t xml:space="preserve"> Italian </w:t>
      </w:r>
      <w:r>
        <w:rPr>
          <w:sz w:val="24"/>
          <w:szCs w:val="24"/>
        </w:rPr>
        <w:t>landscape</w:t>
      </w:r>
      <w:r w:rsidR="001E2FB1">
        <w:rPr>
          <w:sz w:val="24"/>
          <w:szCs w:val="24"/>
        </w:rPr>
        <w:t>.</w:t>
      </w:r>
    </w:p>
    <w:p w14:paraId="559FBA8F" w14:textId="04023ED5" w:rsidR="0013297D" w:rsidRPr="007011CD" w:rsidRDefault="0013297D" w:rsidP="0013297D">
      <w:pPr>
        <w:spacing w:before="122" w:after="118" w:line="240" w:lineRule="auto"/>
        <w:ind w:left="720"/>
        <w:jc w:val="both"/>
        <w:rPr>
          <w:rFonts w:eastAsia="Times New Roman" w:cstheme="minorHAnsi"/>
          <w:color w:val="000000"/>
          <w:sz w:val="24"/>
          <w:szCs w:val="24"/>
          <w:lang w:eastAsia="en-GB"/>
        </w:rPr>
      </w:pPr>
      <w:r w:rsidRPr="007011CD">
        <w:rPr>
          <w:rFonts w:eastAsia="Times New Roman" w:cstheme="minorHAnsi"/>
          <w:color w:val="000000"/>
          <w:sz w:val="24"/>
          <w:szCs w:val="24"/>
          <w:lang w:eastAsia="en-GB"/>
        </w:rPr>
        <w:t>Do you see the height of those cliffs, terrace above terrace, hill above hill? Why, that level road at the very bottom is the top of a taller cliff than those I used to think so appalling at Broadstairs and Ramsgate!</w:t>
      </w:r>
    </w:p>
    <w:p w14:paraId="7CC611A4" w14:textId="77777777" w:rsidR="0013297D" w:rsidRPr="009E6A24" w:rsidRDefault="0013297D" w:rsidP="001E2FB1">
      <w:pPr>
        <w:rPr>
          <w:sz w:val="24"/>
          <w:szCs w:val="24"/>
        </w:rPr>
      </w:pPr>
    </w:p>
    <w:p w14:paraId="6A1D21FB" w14:textId="2172F1D1" w:rsidR="001E2FB1" w:rsidRDefault="001E2FB1" w:rsidP="00FB3E01">
      <w:pPr>
        <w:rPr>
          <w:sz w:val="24"/>
          <w:szCs w:val="24"/>
        </w:rPr>
      </w:pPr>
    </w:p>
    <w:p w14:paraId="2A53C0E6" w14:textId="06C7EEF4" w:rsidR="00FB3E01" w:rsidRDefault="0013297D" w:rsidP="00FB3E01">
      <w:pPr>
        <w:rPr>
          <w:sz w:val="24"/>
          <w:szCs w:val="24"/>
        </w:rPr>
      </w:pPr>
      <w:r>
        <w:rPr>
          <w:sz w:val="24"/>
          <w:szCs w:val="24"/>
        </w:rPr>
        <w:t>Article by Carolyn Oulton</w:t>
      </w:r>
    </w:p>
    <w:p w14:paraId="3F26AD87" w14:textId="071389B6" w:rsidR="0013297D" w:rsidRPr="0013297D" w:rsidRDefault="0013297D" w:rsidP="00FB3E01">
      <w:pPr>
        <w:rPr>
          <w:b/>
          <w:bCs/>
          <w:sz w:val="24"/>
          <w:szCs w:val="24"/>
        </w:rPr>
      </w:pPr>
      <w:r w:rsidRPr="0013297D">
        <w:rPr>
          <w:b/>
          <w:bCs/>
          <w:sz w:val="24"/>
          <w:szCs w:val="24"/>
        </w:rPr>
        <w:lastRenderedPageBreak/>
        <w:t>Bibliography</w:t>
      </w:r>
    </w:p>
    <w:p w14:paraId="71094CE9" w14:textId="01A5CD46" w:rsidR="0013297D" w:rsidRPr="009E6A24" w:rsidRDefault="0013297D" w:rsidP="0013297D">
      <w:pPr>
        <w:rPr>
          <w:sz w:val="24"/>
          <w:szCs w:val="24"/>
        </w:rPr>
      </w:pPr>
      <w:r>
        <w:rPr>
          <w:sz w:val="24"/>
          <w:szCs w:val="24"/>
        </w:rPr>
        <w:t xml:space="preserve">Braddon, M. E. </w:t>
      </w:r>
      <w:r>
        <w:rPr>
          <w:sz w:val="24"/>
          <w:szCs w:val="24"/>
        </w:rPr>
        <w:t>[_</w:t>
      </w:r>
      <w:r>
        <w:rPr>
          <w:i/>
          <w:iCs/>
          <w:sz w:val="24"/>
          <w:szCs w:val="24"/>
        </w:rPr>
        <w:t>All Along the River</w:t>
      </w:r>
      <w:r>
        <w:rPr>
          <w:sz w:val="24"/>
          <w:szCs w:val="24"/>
        </w:rPr>
        <w:t>_ (1893)](</w:t>
      </w:r>
      <w:r w:rsidRPr="00D54DF8">
        <w:t xml:space="preserve"> </w:t>
      </w:r>
      <w:r w:rsidRPr="00D54DF8">
        <w:rPr>
          <w:sz w:val="24"/>
          <w:szCs w:val="24"/>
        </w:rPr>
        <w:t>https://www.gutenberg.org/files/57405/57405-h/57405-h.htm</w:t>
      </w:r>
      <w:r>
        <w:rPr>
          <w:sz w:val="24"/>
          <w:szCs w:val="24"/>
        </w:rPr>
        <w:t>).</w:t>
      </w:r>
    </w:p>
    <w:p w14:paraId="0CD884AD" w14:textId="20AB9E2D" w:rsidR="0013297D" w:rsidRPr="00637427" w:rsidRDefault="0013297D" w:rsidP="0013297D">
      <w:pPr>
        <w:rPr>
          <w:sz w:val="24"/>
          <w:szCs w:val="24"/>
        </w:rPr>
      </w:pPr>
      <w:r>
        <w:rPr>
          <w:sz w:val="24"/>
          <w:szCs w:val="24"/>
        </w:rPr>
        <w:t xml:space="preserve">--. </w:t>
      </w:r>
      <w:r>
        <w:rPr>
          <w:sz w:val="24"/>
          <w:szCs w:val="24"/>
        </w:rPr>
        <w:t>_</w:t>
      </w:r>
      <w:r>
        <w:rPr>
          <w:i/>
          <w:iCs/>
          <w:sz w:val="24"/>
          <w:szCs w:val="24"/>
        </w:rPr>
        <w:t xml:space="preserve">Barbara </w:t>
      </w:r>
      <w:r>
        <w:rPr>
          <w:sz w:val="24"/>
          <w:szCs w:val="24"/>
        </w:rPr>
        <w:t>1880_.</w:t>
      </w:r>
    </w:p>
    <w:p w14:paraId="6966A867" w14:textId="05190E4D" w:rsidR="0013297D" w:rsidRDefault="0013297D" w:rsidP="0013297D">
      <w:pPr>
        <w:rPr>
          <w:i/>
          <w:iCs/>
          <w:sz w:val="24"/>
          <w:szCs w:val="24"/>
        </w:rPr>
      </w:pPr>
      <w:r>
        <w:rPr>
          <w:sz w:val="24"/>
          <w:szCs w:val="24"/>
        </w:rPr>
        <w:t xml:space="preserve">--. </w:t>
      </w:r>
      <w:r>
        <w:rPr>
          <w:sz w:val="24"/>
          <w:szCs w:val="24"/>
        </w:rPr>
        <w:t>_</w:t>
      </w:r>
      <w:r>
        <w:rPr>
          <w:i/>
          <w:iCs/>
          <w:sz w:val="24"/>
          <w:szCs w:val="24"/>
        </w:rPr>
        <w:t>Gerard, or, The World, The Flesh and The Devil</w:t>
      </w:r>
      <w:r>
        <w:rPr>
          <w:sz w:val="24"/>
          <w:szCs w:val="24"/>
        </w:rPr>
        <w:t>_ (1891).</w:t>
      </w:r>
    </w:p>
    <w:p w14:paraId="3D763730" w14:textId="3DFC2D92" w:rsidR="003F2746" w:rsidRPr="003F2746" w:rsidRDefault="0013297D">
      <w:pPr>
        <w:rPr>
          <w:sz w:val="24"/>
          <w:szCs w:val="24"/>
        </w:rPr>
      </w:pPr>
      <w:proofErr w:type="spellStart"/>
      <w:r w:rsidRPr="00D46958">
        <w:rPr>
          <w:sz w:val="24"/>
          <w:szCs w:val="24"/>
        </w:rPr>
        <w:t>Cognard</w:t>
      </w:r>
      <w:proofErr w:type="spellEnd"/>
      <w:r w:rsidRPr="00D46958">
        <w:rPr>
          <w:sz w:val="24"/>
          <w:szCs w:val="24"/>
        </w:rPr>
        <w:t>-Black</w:t>
      </w:r>
      <w:r>
        <w:rPr>
          <w:sz w:val="24"/>
          <w:szCs w:val="24"/>
        </w:rPr>
        <w:t>, Jennifer and Elizabeth Macleod Walls, eds. _</w:t>
      </w:r>
      <w:r w:rsidRPr="006C60CF">
        <w:rPr>
          <w:i/>
          <w:iCs/>
          <w:sz w:val="24"/>
          <w:szCs w:val="24"/>
        </w:rPr>
        <w:t>Kindred Hands: Letters on Writing by British and American Women Authors, 1865-1935</w:t>
      </w:r>
      <w:r>
        <w:rPr>
          <w:sz w:val="24"/>
          <w:szCs w:val="24"/>
        </w:rPr>
        <w:t>_. Iowa: University of Iowa Press, 2006.</w:t>
      </w:r>
    </w:p>
    <w:sectPr w:rsidR="003F2746" w:rsidRPr="003F27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2374B" w14:textId="77777777" w:rsidR="00E63E27" w:rsidRDefault="00E63E27" w:rsidP="005D1F81">
      <w:pPr>
        <w:spacing w:after="0" w:line="240" w:lineRule="auto"/>
      </w:pPr>
      <w:r>
        <w:separator/>
      </w:r>
    </w:p>
  </w:endnote>
  <w:endnote w:type="continuationSeparator" w:id="0">
    <w:p w14:paraId="60BD32B7" w14:textId="77777777" w:rsidR="00E63E27" w:rsidRDefault="00E63E27" w:rsidP="005D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6F7F3" w14:textId="77777777" w:rsidR="00E63E27" w:rsidRDefault="00E63E27" w:rsidP="005D1F81">
      <w:pPr>
        <w:spacing w:after="0" w:line="240" w:lineRule="auto"/>
      </w:pPr>
      <w:r>
        <w:separator/>
      </w:r>
    </w:p>
  </w:footnote>
  <w:footnote w:type="continuationSeparator" w:id="0">
    <w:p w14:paraId="2BD56687" w14:textId="77777777" w:rsidR="00E63E27" w:rsidRDefault="00E63E27" w:rsidP="005D1F81">
      <w:pPr>
        <w:spacing w:after="0" w:line="240" w:lineRule="auto"/>
      </w:pPr>
      <w:r>
        <w:continuationSeparator/>
      </w:r>
    </w:p>
  </w:footnote>
  <w:footnote w:id="1">
    <w:p w14:paraId="2E9D8B29" w14:textId="6A0917D9" w:rsidR="005D1F81" w:rsidRPr="005D1F81" w:rsidRDefault="005D1F81" w:rsidP="005D1F81">
      <w:pPr>
        <w:rPr>
          <w:sz w:val="20"/>
          <w:szCs w:val="20"/>
        </w:rPr>
      </w:pPr>
      <w:r>
        <w:rPr>
          <w:rStyle w:val="FootnoteReference"/>
        </w:rPr>
        <w:footnoteRef/>
      </w:r>
      <w:r>
        <w:t xml:space="preserve"> </w:t>
      </w:r>
      <w:r w:rsidRPr="005D1F81">
        <w:rPr>
          <w:sz w:val="20"/>
          <w:szCs w:val="20"/>
        </w:rPr>
        <w:t>Letter to Charles Kent. 40 Albion Street, Broadstairs. 25 February [1878].</w:t>
      </w:r>
      <w:r w:rsidR="00283E59">
        <w:rPr>
          <w:sz w:val="20"/>
          <w:szCs w:val="20"/>
        </w:rPr>
        <w:t xml:space="preserve"> </w:t>
      </w:r>
      <w:proofErr w:type="spellStart"/>
      <w:r w:rsidR="00283E59" w:rsidRPr="00D46958">
        <w:rPr>
          <w:sz w:val="20"/>
          <w:szCs w:val="20"/>
        </w:rPr>
        <w:t>Cognard</w:t>
      </w:r>
      <w:proofErr w:type="spellEnd"/>
      <w:r w:rsidR="00283E59" w:rsidRPr="00D46958">
        <w:rPr>
          <w:sz w:val="20"/>
          <w:szCs w:val="20"/>
        </w:rPr>
        <w:t>-Black</w:t>
      </w:r>
      <w:r w:rsidR="00283E59">
        <w:rPr>
          <w:sz w:val="20"/>
          <w:szCs w:val="20"/>
        </w:rPr>
        <w:t xml:space="preserve">  and Walls 98.</w:t>
      </w:r>
    </w:p>
    <w:p w14:paraId="2B5F63E7" w14:textId="6CF069E0" w:rsidR="005D1F81" w:rsidRDefault="005D1F8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66"/>
    <w:rsid w:val="0013297D"/>
    <w:rsid w:val="001E2FB1"/>
    <w:rsid w:val="00283E59"/>
    <w:rsid w:val="003F2746"/>
    <w:rsid w:val="005D1F81"/>
    <w:rsid w:val="005F151D"/>
    <w:rsid w:val="007625EF"/>
    <w:rsid w:val="00925A66"/>
    <w:rsid w:val="00DB1E42"/>
    <w:rsid w:val="00E63E27"/>
    <w:rsid w:val="00EA7509"/>
    <w:rsid w:val="00EE3198"/>
    <w:rsid w:val="00F719AE"/>
    <w:rsid w:val="00FB3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F54"/>
  <w15:chartTrackingRefBased/>
  <w15:docId w15:val="{79477635-496D-4AA2-9689-BF417FE2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5EF"/>
    <w:rPr>
      <w:color w:val="0563C1" w:themeColor="hyperlink"/>
      <w:u w:val="single"/>
    </w:rPr>
  </w:style>
  <w:style w:type="character" w:styleId="UnresolvedMention">
    <w:name w:val="Unresolved Mention"/>
    <w:basedOn w:val="DefaultParagraphFont"/>
    <w:uiPriority w:val="99"/>
    <w:semiHidden/>
    <w:unhideWhenUsed/>
    <w:rsid w:val="007625EF"/>
    <w:rPr>
      <w:color w:val="605E5C"/>
      <w:shd w:val="clear" w:color="auto" w:fill="E1DFDD"/>
    </w:rPr>
  </w:style>
  <w:style w:type="paragraph" w:styleId="FootnoteText">
    <w:name w:val="footnote text"/>
    <w:basedOn w:val="Normal"/>
    <w:link w:val="FootnoteTextChar"/>
    <w:uiPriority w:val="99"/>
    <w:semiHidden/>
    <w:unhideWhenUsed/>
    <w:rsid w:val="005D1F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F81"/>
    <w:rPr>
      <w:sz w:val="20"/>
      <w:szCs w:val="20"/>
    </w:rPr>
  </w:style>
  <w:style w:type="character" w:styleId="FootnoteReference">
    <w:name w:val="footnote reference"/>
    <w:basedOn w:val="DefaultParagraphFont"/>
    <w:uiPriority w:val="99"/>
    <w:semiHidden/>
    <w:unhideWhenUsed/>
    <w:rsid w:val="005D1F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files/57405/57405-h/57405-h.htm" TargetMode="External"/><Relationship Id="rId3" Type="http://schemas.openxmlformats.org/officeDocument/2006/relationships/settings" Target="settings.xml"/><Relationship Id="rId7" Type="http://schemas.openxmlformats.org/officeDocument/2006/relationships/hyperlink" Target="https://maryelizabethbraddo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042E-D8F2-4500-AA94-BCA9F015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9</cp:revision>
  <dcterms:created xsi:type="dcterms:W3CDTF">2021-01-05T15:17:00Z</dcterms:created>
  <dcterms:modified xsi:type="dcterms:W3CDTF">2021-01-05T19:21:00Z</dcterms:modified>
</cp:coreProperties>
</file>