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60C04" w14:textId="77777777" w:rsidR="00831B2F" w:rsidRDefault="00831B2F">
      <w:pPr>
        <w:rPr>
          <w:rFonts w:cstheme="minorHAnsi"/>
          <w:sz w:val="24"/>
          <w:szCs w:val="24"/>
        </w:rPr>
      </w:pPr>
      <w:r w:rsidRPr="00831B2F">
        <w:rPr>
          <w:rFonts w:cstheme="minorHAnsi"/>
          <w:sz w:val="24"/>
          <w:szCs w:val="24"/>
          <w:highlight w:val="yellow"/>
        </w:rPr>
        <w:t>I have postcards of the bandstand from the right time, but in Nigel Breadman’s office…</w:t>
      </w:r>
    </w:p>
    <w:p w14:paraId="6852E9C0" w14:textId="77777777" w:rsidR="00831B2F" w:rsidRDefault="00831B2F">
      <w:pPr>
        <w:rPr>
          <w:rFonts w:cstheme="minorHAnsi"/>
          <w:sz w:val="24"/>
          <w:szCs w:val="24"/>
        </w:rPr>
      </w:pPr>
    </w:p>
    <w:p w14:paraId="7B68ABB0" w14:textId="27A7B837" w:rsidR="005B7169" w:rsidRPr="004A2CA9" w:rsidRDefault="00E96907">
      <w:pPr>
        <w:rPr>
          <w:rFonts w:cstheme="minorHAnsi"/>
          <w:b/>
          <w:bCs/>
          <w:sz w:val="24"/>
          <w:szCs w:val="24"/>
        </w:rPr>
      </w:pPr>
      <w:r w:rsidRPr="004A2CA9">
        <w:rPr>
          <w:rFonts w:cstheme="minorHAnsi"/>
          <w:b/>
          <w:bCs/>
          <w:sz w:val="24"/>
          <w:szCs w:val="24"/>
        </w:rPr>
        <w:t>John Ferguson (</w:t>
      </w:r>
      <w:r w:rsidR="00314974" w:rsidRPr="004A2CA9">
        <w:rPr>
          <w:rFonts w:cstheme="minorHAnsi"/>
          <w:b/>
          <w:bCs/>
          <w:sz w:val="24"/>
          <w:szCs w:val="24"/>
        </w:rPr>
        <w:t>1871-1952</w:t>
      </w:r>
      <w:r w:rsidRPr="004A2CA9">
        <w:rPr>
          <w:rFonts w:cstheme="minorHAnsi"/>
          <w:b/>
          <w:bCs/>
          <w:sz w:val="24"/>
          <w:szCs w:val="24"/>
        </w:rPr>
        <w:t>)</w:t>
      </w:r>
    </w:p>
    <w:p w14:paraId="6AAD933B" w14:textId="74C3D2AB" w:rsidR="004A2CA9" w:rsidRDefault="00404933">
      <w:pPr>
        <w:rPr>
          <w:rFonts w:cstheme="minorHAnsi"/>
          <w:sz w:val="24"/>
          <w:szCs w:val="24"/>
        </w:rPr>
      </w:pPr>
      <w:r>
        <w:rPr>
          <w:rFonts w:cstheme="minorHAnsi"/>
          <w:sz w:val="24"/>
          <w:szCs w:val="24"/>
        </w:rPr>
        <w:t xml:space="preserve">Chaplain of Eversley School, </w:t>
      </w:r>
      <w:r w:rsidR="004A2CA9">
        <w:rPr>
          <w:rFonts w:cstheme="minorHAnsi"/>
          <w:sz w:val="24"/>
          <w:szCs w:val="24"/>
        </w:rPr>
        <w:t>Sandgate</w:t>
      </w:r>
      <w:r w:rsidR="00EA17F0">
        <w:rPr>
          <w:rFonts w:cstheme="minorHAnsi"/>
          <w:sz w:val="24"/>
          <w:szCs w:val="24"/>
        </w:rPr>
        <w:t xml:space="preserve"> 1915 </w:t>
      </w:r>
      <w:r>
        <w:rPr>
          <w:rFonts w:cstheme="minorHAnsi"/>
          <w:sz w:val="24"/>
          <w:szCs w:val="24"/>
        </w:rPr>
        <w:t>–</w:t>
      </w:r>
      <w:r w:rsidR="00EA17F0">
        <w:rPr>
          <w:rFonts w:cstheme="minorHAnsi"/>
          <w:sz w:val="24"/>
          <w:szCs w:val="24"/>
        </w:rPr>
        <w:t xml:space="preserve"> </w:t>
      </w:r>
      <w:r>
        <w:rPr>
          <w:rFonts w:cstheme="minorHAnsi"/>
          <w:sz w:val="24"/>
          <w:szCs w:val="24"/>
        </w:rPr>
        <w:t>1939.</w:t>
      </w:r>
    </w:p>
    <w:p w14:paraId="39E2B6E0" w14:textId="162D80A9" w:rsidR="004A2CA9" w:rsidRPr="004A2CA9" w:rsidRDefault="004A2CA9">
      <w:pPr>
        <w:rPr>
          <w:rFonts w:cstheme="minorHAnsi"/>
          <w:sz w:val="24"/>
          <w:szCs w:val="24"/>
        </w:rPr>
      </w:pPr>
      <w:r w:rsidRPr="004A2CA9">
        <w:rPr>
          <w:rFonts w:cstheme="minorHAnsi"/>
          <w:sz w:val="24"/>
          <w:szCs w:val="24"/>
        </w:rPr>
        <w:t>‘I wandered out on the Leas, amid the gay butterflies listening to the military band, which that afternoon was playing on the glorious headland. In the midst of all that kaleidoscope of colour and buzz of talk I had a sense of being separate and aloof.’</w:t>
      </w:r>
    </w:p>
    <w:p w14:paraId="7BDC9887" w14:textId="0D9C7E5B" w:rsidR="004A2CA9" w:rsidRPr="004A2CA9" w:rsidRDefault="004A2CA9">
      <w:pPr>
        <w:rPr>
          <w:rFonts w:cstheme="minorHAnsi"/>
          <w:sz w:val="24"/>
          <w:szCs w:val="24"/>
        </w:rPr>
      </w:pPr>
      <w:r>
        <w:rPr>
          <w:rFonts w:cstheme="minorHAnsi"/>
          <w:sz w:val="24"/>
          <w:szCs w:val="24"/>
        </w:rPr>
        <w:t>_Stealthy Terror</w:t>
      </w:r>
      <w:r w:rsidR="0098771B">
        <w:rPr>
          <w:rFonts w:cstheme="minorHAnsi"/>
          <w:sz w:val="24"/>
          <w:szCs w:val="24"/>
        </w:rPr>
        <w:t>_</w:t>
      </w:r>
      <w:r>
        <w:rPr>
          <w:rFonts w:cstheme="minorHAnsi"/>
          <w:sz w:val="24"/>
          <w:szCs w:val="24"/>
        </w:rPr>
        <w:t xml:space="preserve"> (1918)_</w:t>
      </w:r>
    </w:p>
    <w:p w14:paraId="6A8C7BAA" w14:textId="13FD858C" w:rsidR="004A2CA9" w:rsidRDefault="004A2CA9">
      <w:pPr>
        <w:rPr>
          <w:rFonts w:cstheme="minorHAnsi"/>
          <w:sz w:val="24"/>
          <w:szCs w:val="24"/>
        </w:rPr>
      </w:pPr>
    </w:p>
    <w:p w14:paraId="3116E490" w14:textId="2E78DCB9" w:rsidR="00404933" w:rsidRDefault="00EA17F0">
      <w:pPr>
        <w:rPr>
          <w:rFonts w:cstheme="minorHAnsi"/>
          <w:sz w:val="24"/>
          <w:szCs w:val="24"/>
        </w:rPr>
      </w:pPr>
      <w:r>
        <w:rPr>
          <w:rFonts w:cstheme="minorHAnsi"/>
          <w:sz w:val="24"/>
          <w:szCs w:val="24"/>
        </w:rPr>
        <w:t xml:space="preserve">Scottish by birth, </w:t>
      </w:r>
      <w:r w:rsidR="00404933">
        <w:rPr>
          <w:rFonts w:cstheme="minorHAnsi"/>
          <w:sz w:val="24"/>
          <w:szCs w:val="24"/>
        </w:rPr>
        <w:t xml:space="preserve">novelist and dramatist </w:t>
      </w:r>
      <w:r>
        <w:rPr>
          <w:rFonts w:cstheme="minorHAnsi"/>
          <w:sz w:val="24"/>
          <w:szCs w:val="24"/>
        </w:rPr>
        <w:t xml:space="preserve">John Ferguson became chaplain of </w:t>
      </w:r>
      <w:r w:rsidR="0098771B">
        <w:rPr>
          <w:rFonts w:cstheme="minorHAnsi"/>
          <w:sz w:val="24"/>
          <w:szCs w:val="24"/>
        </w:rPr>
        <w:t xml:space="preserve">Eversley girls’ school in </w:t>
      </w:r>
      <w:r>
        <w:rPr>
          <w:rFonts w:cstheme="minorHAnsi"/>
          <w:sz w:val="24"/>
          <w:szCs w:val="24"/>
        </w:rPr>
        <w:t>Sandgate in 1915</w:t>
      </w:r>
      <w:r w:rsidR="0098771B">
        <w:rPr>
          <w:rFonts w:cstheme="minorHAnsi"/>
          <w:sz w:val="24"/>
          <w:szCs w:val="24"/>
        </w:rPr>
        <w:t>.</w:t>
      </w:r>
      <w:r w:rsidR="00404933">
        <w:rPr>
          <w:rStyle w:val="FootnoteReference"/>
          <w:rFonts w:cstheme="minorHAnsi"/>
          <w:sz w:val="24"/>
          <w:szCs w:val="24"/>
        </w:rPr>
        <w:footnoteReference w:id="1"/>
      </w:r>
      <w:r w:rsidR="0098771B">
        <w:rPr>
          <w:rFonts w:cstheme="minorHAnsi"/>
          <w:sz w:val="24"/>
          <w:szCs w:val="24"/>
        </w:rPr>
        <w:t xml:space="preserve">  </w:t>
      </w:r>
      <w:r w:rsidR="004C0A86">
        <w:rPr>
          <w:rFonts w:cstheme="minorHAnsi"/>
          <w:sz w:val="24"/>
          <w:szCs w:val="24"/>
        </w:rPr>
        <w:t>The following year he</w:t>
      </w:r>
      <w:r w:rsidR="004C0A86">
        <w:rPr>
          <w:rFonts w:cstheme="minorHAnsi"/>
          <w:sz w:val="24"/>
          <w:szCs w:val="24"/>
        </w:rPr>
        <w:t xml:space="preserve"> wrote a paper for the </w:t>
      </w:r>
      <w:r w:rsidR="004C0A86" w:rsidRPr="004A2CA9">
        <w:rPr>
          <w:rFonts w:cstheme="minorHAnsi"/>
          <w:color w:val="201F1E"/>
          <w:sz w:val="24"/>
          <w:szCs w:val="24"/>
          <w:shd w:val="clear" w:color="auto" w:fill="FFFFFF"/>
        </w:rPr>
        <w:t>Folkestone War Refugees Committee</w:t>
      </w:r>
      <w:r w:rsidR="004C0A86">
        <w:rPr>
          <w:rFonts w:cstheme="minorHAnsi"/>
          <w:color w:val="201F1E"/>
          <w:sz w:val="24"/>
          <w:szCs w:val="24"/>
          <w:shd w:val="clear" w:color="auto" w:fill="FFFFFF"/>
        </w:rPr>
        <w:t xml:space="preserve"> on the town’s contribution </w:t>
      </w:r>
      <w:r w:rsidR="004C0A86" w:rsidRPr="004A2CA9">
        <w:rPr>
          <w:rFonts w:cstheme="minorHAnsi"/>
          <w:color w:val="201F1E"/>
          <w:sz w:val="24"/>
          <w:szCs w:val="24"/>
          <w:shd w:val="clear" w:color="auto" w:fill="FFFFFF"/>
        </w:rPr>
        <w:t xml:space="preserve">in helping </w:t>
      </w:r>
      <w:r w:rsidR="004C0A86">
        <w:rPr>
          <w:rFonts w:cstheme="minorHAnsi"/>
          <w:color w:val="201F1E"/>
          <w:sz w:val="24"/>
          <w:szCs w:val="24"/>
          <w:shd w:val="clear" w:color="auto" w:fill="FFFFFF"/>
        </w:rPr>
        <w:t>[</w:t>
      </w:r>
      <w:r w:rsidR="004C0A86" w:rsidRPr="004A2CA9">
        <w:rPr>
          <w:rFonts w:cstheme="minorHAnsi"/>
          <w:color w:val="201F1E"/>
          <w:sz w:val="24"/>
          <w:szCs w:val="24"/>
          <w:shd w:val="clear" w:color="auto" w:fill="FFFFFF"/>
        </w:rPr>
        <w:t>Belgian refugees</w:t>
      </w:r>
      <w:r w:rsidR="004C0A86">
        <w:rPr>
          <w:rFonts w:cstheme="minorHAnsi"/>
          <w:color w:val="201F1E"/>
          <w:sz w:val="24"/>
          <w:szCs w:val="24"/>
          <w:shd w:val="clear" w:color="auto" w:fill="FFFFFF"/>
        </w:rPr>
        <w:t>](</w:t>
      </w:r>
      <w:r w:rsidR="004C0A86" w:rsidRPr="005975C5">
        <w:rPr>
          <w:rFonts w:cstheme="minorHAnsi"/>
          <w:color w:val="201F1E"/>
          <w:sz w:val="24"/>
          <w:szCs w:val="24"/>
          <w:shd w:val="clear" w:color="auto" w:fill="FFFFFF"/>
        </w:rPr>
        <w:t>/20c/20c-belgian-refugees</w:t>
      </w:r>
      <w:r w:rsidR="004C0A86">
        <w:rPr>
          <w:rFonts w:cstheme="minorHAnsi"/>
          <w:color w:val="201F1E"/>
          <w:sz w:val="24"/>
          <w:szCs w:val="24"/>
          <w:shd w:val="clear" w:color="auto" w:fill="FFFFFF"/>
        </w:rPr>
        <w:t>)</w:t>
      </w:r>
      <w:r w:rsidR="004C0A86" w:rsidRPr="004A2CA9">
        <w:rPr>
          <w:rFonts w:cstheme="minorHAnsi"/>
          <w:color w:val="201F1E"/>
          <w:sz w:val="24"/>
          <w:szCs w:val="24"/>
          <w:shd w:val="clear" w:color="auto" w:fill="FFFFFF"/>
        </w:rPr>
        <w:t>.</w:t>
      </w:r>
      <w:r w:rsidR="004C0A86">
        <w:rPr>
          <w:rStyle w:val="FootnoteReference"/>
          <w:rFonts w:cstheme="minorHAnsi"/>
          <w:color w:val="201F1E"/>
          <w:sz w:val="24"/>
          <w:szCs w:val="24"/>
          <w:shd w:val="clear" w:color="auto" w:fill="FFFFFF"/>
        </w:rPr>
        <w:footnoteReference w:id="2"/>
      </w:r>
      <w:r w:rsidR="004C0A86" w:rsidRPr="004A2CA9">
        <w:rPr>
          <w:rFonts w:cstheme="minorHAnsi"/>
          <w:color w:val="201F1E"/>
          <w:sz w:val="24"/>
          <w:szCs w:val="24"/>
          <w:shd w:val="clear" w:color="auto" w:fill="FFFFFF"/>
        </w:rPr>
        <w:t xml:space="preserve">  </w:t>
      </w:r>
    </w:p>
    <w:p w14:paraId="7FF8F6CA" w14:textId="5B0FC3CE" w:rsidR="00EA17F0" w:rsidRPr="004A2CA9" w:rsidRDefault="0098771B">
      <w:pPr>
        <w:rPr>
          <w:rFonts w:cstheme="minorHAnsi"/>
          <w:sz w:val="24"/>
          <w:szCs w:val="24"/>
        </w:rPr>
      </w:pPr>
      <w:r>
        <w:rPr>
          <w:rFonts w:cstheme="minorHAnsi"/>
          <w:sz w:val="24"/>
          <w:szCs w:val="24"/>
        </w:rPr>
        <w:t xml:space="preserve">His spy novel </w:t>
      </w:r>
      <w:r>
        <w:rPr>
          <w:rFonts w:cstheme="minorHAnsi"/>
          <w:sz w:val="24"/>
          <w:szCs w:val="24"/>
        </w:rPr>
        <w:t>_Stealthy Terror_</w:t>
      </w:r>
      <w:r>
        <w:rPr>
          <w:rFonts w:cstheme="minorHAnsi"/>
          <w:sz w:val="24"/>
          <w:szCs w:val="24"/>
        </w:rPr>
        <w:t xml:space="preserve"> </w:t>
      </w:r>
      <w:r w:rsidR="00085769">
        <w:rPr>
          <w:rFonts w:cstheme="minorHAnsi"/>
          <w:sz w:val="24"/>
          <w:szCs w:val="24"/>
        </w:rPr>
        <w:t xml:space="preserve">was published in 1918, but captures the mood of </w:t>
      </w:r>
      <w:r>
        <w:rPr>
          <w:rFonts w:cstheme="minorHAnsi"/>
          <w:sz w:val="24"/>
          <w:szCs w:val="24"/>
        </w:rPr>
        <w:t xml:space="preserve">1914, just before the outbreak of </w:t>
      </w:r>
      <w:r w:rsidR="004B7EDD">
        <w:rPr>
          <w:rFonts w:cstheme="minorHAnsi"/>
          <w:sz w:val="24"/>
          <w:szCs w:val="24"/>
        </w:rPr>
        <w:t>[</w:t>
      </w:r>
      <w:r>
        <w:rPr>
          <w:rFonts w:cstheme="minorHAnsi"/>
          <w:sz w:val="24"/>
          <w:szCs w:val="24"/>
        </w:rPr>
        <w:t>WW1</w:t>
      </w:r>
      <w:r w:rsidR="004B7EDD">
        <w:rPr>
          <w:rFonts w:cstheme="minorHAnsi"/>
          <w:sz w:val="24"/>
          <w:szCs w:val="24"/>
        </w:rPr>
        <w:t>](</w:t>
      </w:r>
      <w:r w:rsidR="004B7EDD" w:rsidRPr="004B7EDD">
        <w:t xml:space="preserve"> </w:t>
      </w:r>
      <w:r w:rsidR="004B7EDD" w:rsidRPr="004B7EDD">
        <w:rPr>
          <w:rFonts w:cstheme="minorHAnsi"/>
          <w:sz w:val="24"/>
          <w:szCs w:val="24"/>
        </w:rPr>
        <w:t>/20c/20c-folkestone-ww1</w:t>
      </w:r>
      <w:r w:rsidR="004B7EDD">
        <w:rPr>
          <w:rFonts w:cstheme="minorHAnsi"/>
          <w:sz w:val="24"/>
          <w:szCs w:val="24"/>
        </w:rPr>
        <w:t>)</w:t>
      </w:r>
      <w:r>
        <w:rPr>
          <w:rFonts w:cstheme="minorHAnsi"/>
          <w:sz w:val="24"/>
          <w:szCs w:val="24"/>
        </w:rPr>
        <w:t xml:space="preserve">. In </w:t>
      </w:r>
      <w:r w:rsidR="00085769">
        <w:rPr>
          <w:rFonts w:cstheme="minorHAnsi"/>
          <w:sz w:val="24"/>
          <w:szCs w:val="24"/>
        </w:rPr>
        <w:t>a memorable scene</w:t>
      </w:r>
      <w:r w:rsidR="00404933">
        <w:rPr>
          <w:rFonts w:cstheme="minorHAnsi"/>
          <w:sz w:val="24"/>
          <w:szCs w:val="24"/>
        </w:rPr>
        <w:t xml:space="preserve"> in Folkestone</w:t>
      </w:r>
      <w:r w:rsidR="00085769">
        <w:rPr>
          <w:rFonts w:cstheme="minorHAnsi"/>
          <w:sz w:val="24"/>
          <w:szCs w:val="24"/>
        </w:rPr>
        <w:t>, the narrator watches human ‘butterflies’ on the [Leas](</w:t>
      </w:r>
      <w:r w:rsidR="00085769" w:rsidRPr="00085769">
        <w:rPr>
          <w:rFonts w:cstheme="minorHAnsi"/>
          <w:sz w:val="24"/>
          <w:szCs w:val="24"/>
        </w:rPr>
        <w:t>https://www.visitfolkestoneandhythe.co.uk/media/1843/folkestone-historical-walks-promenading-on-the-leas.pdf</w:t>
      </w:r>
      <w:r w:rsidR="00085769">
        <w:rPr>
          <w:rFonts w:cstheme="minorHAnsi"/>
          <w:sz w:val="24"/>
          <w:szCs w:val="24"/>
        </w:rPr>
        <w:t xml:space="preserve">), as they gather round a military band. </w:t>
      </w:r>
      <w:r w:rsidR="00404933">
        <w:rPr>
          <w:rFonts w:cstheme="minorHAnsi"/>
          <w:sz w:val="24"/>
          <w:szCs w:val="24"/>
        </w:rPr>
        <w:t>The bandstand had been erected in 1893, when Folkestone ranked as one of the more fashionable [Victorian resorts]</w:t>
      </w:r>
      <w:r w:rsidR="005D10C8">
        <w:rPr>
          <w:rFonts w:cstheme="minorHAnsi"/>
          <w:sz w:val="24"/>
          <w:szCs w:val="24"/>
        </w:rPr>
        <w:t>(</w:t>
      </w:r>
      <w:r w:rsidR="005D10C8" w:rsidRPr="005D10C8">
        <w:rPr>
          <w:rFonts w:cstheme="minorHAnsi"/>
          <w:sz w:val="24"/>
          <w:szCs w:val="24"/>
        </w:rPr>
        <w:t>/19c/19c-folkestone</w:t>
      </w:r>
      <w:r w:rsidR="005D10C8">
        <w:rPr>
          <w:rFonts w:cstheme="minorHAnsi"/>
          <w:sz w:val="24"/>
          <w:szCs w:val="24"/>
        </w:rPr>
        <w:t>)</w:t>
      </w:r>
      <w:r w:rsidR="00404933">
        <w:rPr>
          <w:rFonts w:cstheme="minorHAnsi"/>
          <w:sz w:val="24"/>
          <w:szCs w:val="24"/>
        </w:rPr>
        <w:t>. But as Ferguson’s readers would have been well aware, the Leas promenade gives on to what would later be designated The Road of Remembrance, along which thousands of soldiers had passed on their way to the trenches</w:t>
      </w:r>
      <w:r w:rsidR="007A027B">
        <w:rPr>
          <w:rFonts w:cstheme="minorHAnsi"/>
          <w:sz w:val="24"/>
          <w:szCs w:val="24"/>
        </w:rPr>
        <w:t>. Henry Williamson (best remembered as the author of _Tarka the Otter_), would call it ‘the</w:t>
      </w:r>
      <w:r w:rsidR="000B4D4F">
        <w:rPr>
          <w:rFonts w:cstheme="minorHAnsi"/>
          <w:sz w:val="24"/>
          <w:szCs w:val="24"/>
        </w:rPr>
        <w:t xml:space="preserve"> English</w:t>
      </w:r>
      <w:r w:rsidR="007A027B">
        <w:rPr>
          <w:rFonts w:cstheme="minorHAnsi"/>
          <w:sz w:val="24"/>
          <w:szCs w:val="24"/>
        </w:rPr>
        <w:t xml:space="preserve"> Via Dolorosa’</w:t>
      </w:r>
      <w:r w:rsidR="005D10C8">
        <w:rPr>
          <w:rFonts w:cstheme="minorHAnsi"/>
          <w:sz w:val="24"/>
          <w:szCs w:val="24"/>
        </w:rPr>
        <w:t xml:space="preserve"> in his post-war novel _The Dream of Fair Women_ (1924)</w:t>
      </w:r>
      <w:r w:rsidR="007A027B">
        <w:rPr>
          <w:rFonts w:cstheme="minorHAnsi"/>
          <w:sz w:val="24"/>
          <w:szCs w:val="24"/>
        </w:rPr>
        <w:t>.</w:t>
      </w:r>
    </w:p>
    <w:p w14:paraId="2B4B4D0B" w14:textId="16B3A2F3" w:rsidR="00E5555F" w:rsidRPr="000B4D4F" w:rsidRDefault="005975C5" w:rsidP="00212363">
      <w:pPr>
        <w:rPr>
          <w:rFonts w:cstheme="minorHAnsi"/>
          <w:sz w:val="24"/>
          <w:szCs w:val="24"/>
        </w:rPr>
      </w:pPr>
      <w:r>
        <w:rPr>
          <w:rFonts w:cstheme="minorHAnsi"/>
          <w:color w:val="201F1E"/>
          <w:sz w:val="24"/>
          <w:szCs w:val="24"/>
          <w:shd w:val="clear" w:color="auto" w:fill="FFFFFF"/>
        </w:rPr>
        <w:t xml:space="preserve">The </w:t>
      </w:r>
      <w:r w:rsidR="00D176ED">
        <w:rPr>
          <w:rFonts w:cstheme="minorHAnsi"/>
          <w:color w:val="201F1E"/>
          <w:sz w:val="24"/>
          <w:szCs w:val="24"/>
          <w:shd w:val="clear" w:color="auto" w:fill="FFFFFF"/>
        </w:rPr>
        <w:t>[</w:t>
      </w:r>
      <w:r>
        <w:rPr>
          <w:rFonts w:cstheme="minorHAnsi"/>
          <w:color w:val="201F1E"/>
          <w:sz w:val="24"/>
          <w:szCs w:val="24"/>
          <w:shd w:val="clear" w:color="auto" w:fill="FFFFFF"/>
        </w:rPr>
        <w:t>library</w:t>
      </w:r>
      <w:r w:rsidR="00D176ED">
        <w:rPr>
          <w:rFonts w:cstheme="minorHAnsi"/>
          <w:color w:val="201F1E"/>
          <w:sz w:val="24"/>
          <w:szCs w:val="24"/>
          <w:shd w:val="clear" w:color="auto" w:fill="FFFFFF"/>
        </w:rPr>
        <w:t>](</w:t>
      </w:r>
      <w:r w:rsidR="00D176ED" w:rsidRPr="00D176ED">
        <w:t xml:space="preserve"> </w:t>
      </w:r>
      <w:r w:rsidR="00D176ED" w:rsidRPr="00D176ED">
        <w:rPr>
          <w:rFonts w:cstheme="minorHAnsi"/>
          <w:color w:val="201F1E"/>
          <w:sz w:val="24"/>
          <w:szCs w:val="24"/>
          <w:shd w:val="clear" w:color="auto" w:fill="FFFFFF"/>
        </w:rPr>
        <w:t>/19c/19c-folkestone-free-library</w:t>
      </w:r>
      <w:r w:rsidR="00D176ED">
        <w:rPr>
          <w:rFonts w:cstheme="minorHAnsi"/>
          <w:color w:val="201F1E"/>
          <w:sz w:val="24"/>
          <w:szCs w:val="24"/>
          <w:shd w:val="clear" w:color="auto" w:fill="FFFFFF"/>
        </w:rPr>
        <w:t>)</w:t>
      </w:r>
      <w:r>
        <w:rPr>
          <w:rFonts w:cstheme="minorHAnsi"/>
          <w:color w:val="201F1E"/>
          <w:sz w:val="24"/>
          <w:szCs w:val="24"/>
          <w:shd w:val="clear" w:color="auto" w:fill="FFFFFF"/>
        </w:rPr>
        <w:t xml:space="preserve"> holds rare copies of several of </w:t>
      </w:r>
      <w:r w:rsidR="004C0A86">
        <w:rPr>
          <w:rFonts w:cstheme="minorHAnsi"/>
          <w:color w:val="201F1E"/>
          <w:sz w:val="24"/>
          <w:szCs w:val="24"/>
          <w:shd w:val="clear" w:color="auto" w:fill="FFFFFF"/>
        </w:rPr>
        <w:t>Ferguson’s</w:t>
      </w:r>
      <w:r>
        <w:rPr>
          <w:rFonts w:cstheme="minorHAnsi"/>
          <w:color w:val="201F1E"/>
          <w:sz w:val="24"/>
          <w:szCs w:val="24"/>
          <w:shd w:val="clear" w:color="auto" w:fill="FFFFFF"/>
        </w:rPr>
        <w:t xml:space="preserve"> books</w:t>
      </w:r>
      <w:r w:rsidR="004C0A86">
        <w:rPr>
          <w:rFonts w:cstheme="minorHAnsi"/>
          <w:color w:val="201F1E"/>
          <w:sz w:val="24"/>
          <w:szCs w:val="24"/>
          <w:shd w:val="clear" w:color="auto" w:fill="FFFFFF"/>
        </w:rPr>
        <w:t>:</w:t>
      </w:r>
      <w:r>
        <w:rPr>
          <w:rFonts w:cstheme="minorHAnsi"/>
          <w:color w:val="201F1E"/>
          <w:sz w:val="24"/>
          <w:szCs w:val="24"/>
          <w:shd w:val="clear" w:color="auto" w:fill="FFFFFF"/>
        </w:rPr>
        <w:t xml:space="preserve"> _Campbell of Kilmhor_ (1915), _The King of Morven_ (1922), _</w:t>
      </w:r>
      <w:r>
        <w:rPr>
          <w:rFonts w:cstheme="minorHAnsi"/>
          <w:color w:val="201F1E"/>
          <w:sz w:val="24"/>
          <w:szCs w:val="24"/>
          <w:shd w:val="clear" w:color="auto" w:fill="FFFFFF"/>
        </w:rPr>
        <w:t>The Secret Road_ (1925)</w:t>
      </w:r>
      <w:r>
        <w:rPr>
          <w:rFonts w:cstheme="minorHAnsi"/>
          <w:color w:val="201F1E"/>
          <w:sz w:val="24"/>
          <w:szCs w:val="24"/>
          <w:shd w:val="clear" w:color="auto" w:fill="FFFFFF"/>
        </w:rPr>
        <w:t xml:space="preserve">, </w:t>
      </w:r>
      <w:r>
        <w:rPr>
          <w:rFonts w:cstheme="minorHAnsi"/>
          <w:color w:val="201F1E"/>
          <w:sz w:val="24"/>
          <w:szCs w:val="24"/>
          <w:shd w:val="clear" w:color="auto" w:fill="FFFFFF"/>
        </w:rPr>
        <w:t xml:space="preserve"> </w:t>
      </w:r>
      <w:r>
        <w:rPr>
          <w:rFonts w:cstheme="minorHAnsi"/>
          <w:color w:val="201F1E"/>
          <w:sz w:val="24"/>
          <w:szCs w:val="24"/>
          <w:shd w:val="clear" w:color="auto" w:fill="FFFFFF"/>
        </w:rPr>
        <w:t>_The Man in the Dark_ (1928) and _</w:t>
      </w:r>
      <w:r>
        <w:rPr>
          <w:rFonts w:cstheme="minorHAnsi"/>
          <w:color w:val="201F1E"/>
          <w:sz w:val="24"/>
          <w:szCs w:val="24"/>
          <w:shd w:val="clear" w:color="auto" w:fill="FFFFFF"/>
        </w:rPr>
        <w:t>Murder on the Marsh_ (1930)</w:t>
      </w:r>
      <w:r>
        <w:rPr>
          <w:rFonts w:cstheme="minorHAnsi"/>
          <w:color w:val="201F1E"/>
          <w:sz w:val="24"/>
          <w:szCs w:val="24"/>
          <w:shd w:val="clear" w:color="auto" w:fill="FFFFFF"/>
        </w:rPr>
        <w:t>.</w:t>
      </w:r>
    </w:p>
    <w:p w14:paraId="40D8ECBE" w14:textId="5CFF1BD3" w:rsidR="00E96907" w:rsidRPr="004A2CA9" w:rsidRDefault="00E96907" w:rsidP="00212363">
      <w:pPr>
        <w:rPr>
          <w:rFonts w:cstheme="minorHAnsi"/>
          <w:color w:val="201F1E"/>
          <w:sz w:val="24"/>
          <w:szCs w:val="24"/>
          <w:shd w:val="clear" w:color="auto" w:fill="FFFFFF"/>
        </w:rPr>
      </w:pPr>
    </w:p>
    <w:p w14:paraId="41DB4F95" w14:textId="240F94F4" w:rsidR="00E96907" w:rsidRPr="004A2CA9" w:rsidRDefault="00E96907" w:rsidP="00212363">
      <w:pPr>
        <w:rPr>
          <w:rFonts w:cstheme="minorHAnsi"/>
          <w:color w:val="201F1E"/>
          <w:sz w:val="24"/>
          <w:szCs w:val="24"/>
          <w:shd w:val="clear" w:color="auto" w:fill="FFFFFF"/>
        </w:rPr>
      </w:pPr>
      <w:r w:rsidRPr="004A2CA9">
        <w:rPr>
          <w:rFonts w:cstheme="minorHAnsi"/>
          <w:color w:val="201F1E"/>
          <w:sz w:val="24"/>
          <w:szCs w:val="24"/>
          <w:shd w:val="clear" w:color="auto" w:fill="FFFFFF"/>
        </w:rPr>
        <w:t xml:space="preserve">Bibliography </w:t>
      </w:r>
    </w:p>
    <w:p w14:paraId="285BE6F6" w14:textId="7EA5E68C" w:rsidR="00E96907" w:rsidRPr="004A2CA9" w:rsidRDefault="00E96907" w:rsidP="00E96907">
      <w:pPr>
        <w:rPr>
          <w:rFonts w:cstheme="minorHAnsi"/>
          <w:sz w:val="24"/>
          <w:szCs w:val="24"/>
        </w:rPr>
      </w:pPr>
      <w:r w:rsidRPr="004A2CA9">
        <w:rPr>
          <w:rFonts w:cstheme="minorHAnsi"/>
          <w:sz w:val="24"/>
          <w:szCs w:val="24"/>
        </w:rPr>
        <w:t xml:space="preserve">Bertie, David M. </w:t>
      </w:r>
      <w:r w:rsidRPr="004A2CA9">
        <w:rPr>
          <w:rFonts w:cstheme="minorHAnsi"/>
          <w:sz w:val="24"/>
          <w:szCs w:val="24"/>
        </w:rPr>
        <w:t>_</w:t>
      </w:r>
      <w:r w:rsidRPr="004A2CA9">
        <w:rPr>
          <w:rFonts w:cstheme="minorHAnsi"/>
          <w:i/>
          <w:iCs/>
          <w:sz w:val="24"/>
          <w:szCs w:val="24"/>
        </w:rPr>
        <w:t>Scottish Episcopal Clergy 1689-2000</w:t>
      </w:r>
      <w:r w:rsidRPr="004A2CA9">
        <w:rPr>
          <w:rFonts w:cstheme="minorHAnsi"/>
          <w:sz w:val="24"/>
          <w:szCs w:val="24"/>
        </w:rPr>
        <w:t>_</w:t>
      </w:r>
      <w:r w:rsidRPr="004A2CA9">
        <w:rPr>
          <w:rFonts w:cstheme="minorHAnsi"/>
          <w:sz w:val="24"/>
          <w:szCs w:val="24"/>
        </w:rPr>
        <w:t>. Edinburgh: T. and C. Clark, 2000.</w:t>
      </w:r>
    </w:p>
    <w:p w14:paraId="60F677AA" w14:textId="77777777" w:rsidR="000B4D4F" w:rsidRPr="00FA4A3C" w:rsidRDefault="000B4D4F" w:rsidP="000B4D4F">
      <w:pPr>
        <w:rPr>
          <w:rFonts w:cstheme="minorHAnsi"/>
          <w:bCs/>
          <w:sz w:val="24"/>
          <w:szCs w:val="24"/>
        </w:rPr>
      </w:pPr>
      <w:r w:rsidRPr="00FA4A3C">
        <w:rPr>
          <w:rFonts w:cstheme="minorHAnsi"/>
          <w:bCs/>
          <w:sz w:val="24"/>
          <w:szCs w:val="24"/>
        </w:rPr>
        <w:t xml:space="preserve">Ferguson, John. </w:t>
      </w:r>
      <w:r w:rsidRPr="00FA4A3C">
        <w:rPr>
          <w:rFonts w:cstheme="minorHAnsi"/>
          <w:bCs/>
          <w:i/>
          <w:sz w:val="24"/>
          <w:szCs w:val="24"/>
        </w:rPr>
        <w:t>Stealthy Terror</w:t>
      </w:r>
      <w:r w:rsidRPr="00FA4A3C">
        <w:rPr>
          <w:rFonts w:cstheme="minorHAnsi"/>
          <w:bCs/>
          <w:sz w:val="24"/>
          <w:szCs w:val="24"/>
        </w:rPr>
        <w:t>. London: Penguin, 1954.</w:t>
      </w:r>
    </w:p>
    <w:p w14:paraId="417E60FF" w14:textId="77777777" w:rsidR="00E96907" w:rsidRPr="004A2CA9" w:rsidRDefault="00E96907" w:rsidP="00212363">
      <w:pPr>
        <w:rPr>
          <w:rFonts w:cstheme="minorHAnsi"/>
          <w:sz w:val="24"/>
          <w:szCs w:val="24"/>
        </w:rPr>
      </w:pPr>
    </w:p>
    <w:sectPr w:rsidR="00E96907" w:rsidRPr="004A2C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899D8" w14:textId="77777777" w:rsidR="00AC7614" w:rsidRDefault="00AC7614" w:rsidP="00404933">
      <w:pPr>
        <w:spacing w:after="0" w:line="240" w:lineRule="auto"/>
      </w:pPr>
      <w:r>
        <w:separator/>
      </w:r>
    </w:p>
  </w:endnote>
  <w:endnote w:type="continuationSeparator" w:id="0">
    <w:p w14:paraId="367DC52E" w14:textId="77777777" w:rsidR="00AC7614" w:rsidRDefault="00AC7614" w:rsidP="0040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4337D" w14:textId="77777777" w:rsidR="00AC7614" w:rsidRDefault="00AC7614" w:rsidP="00404933">
      <w:pPr>
        <w:spacing w:after="0" w:line="240" w:lineRule="auto"/>
      </w:pPr>
      <w:r>
        <w:separator/>
      </w:r>
    </w:p>
  </w:footnote>
  <w:footnote w:type="continuationSeparator" w:id="0">
    <w:p w14:paraId="654BDE7D" w14:textId="77777777" w:rsidR="00AC7614" w:rsidRDefault="00AC7614" w:rsidP="00404933">
      <w:pPr>
        <w:spacing w:after="0" w:line="240" w:lineRule="auto"/>
      </w:pPr>
      <w:r>
        <w:continuationSeparator/>
      </w:r>
    </w:p>
  </w:footnote>
  <w:footnote w:id="1">
    <w:p w14:paraId="1A8986D5" w14:textId="394ACCEC" w:rsidR="00404933" w:rsidRDefault="00404933">
      <w:pPr>
        <w:pStyle w:val="FootnoteText"/>
      </w:pPr>
      <w:r>
        <w:rPr>
          <w:rStyle w:val="FootnoteReference"/>
        </w:rPr>
        <w:footnoteRef/>
      </w:r>
      <w:r>
        <w:t xml:space="preserve"> His address is given in local papes as 6 Devonshire Terrace. With thanks to Hilary Tolputt.</w:t>
      </w:r>
    </w:p>
  </w:footnote>
  <w:footnote w:id="2">
    <w:p w14:paraId="6D7D5798" w14:textId="77777777" w:rsidR="004C0A86" w:rsidRDefault="004C0A86" w:rsidP="004C0A86">
      <w:pPr>
        <w:pStyle w:val="FootnoteText"/>
      </w:pPr>
      <w:r>
        <w:rPr>
          <w:rStyle w:val="FootnoteReference"/>
        </w:rPr>
        <w:footnoteRef/>
      </w:r>
      <w:r>
        <w:t xml:space="preserve"> With thanks to Hilary Tolputt.</w:t>
      </w:r>
    </w:p>
    <w:p w14:paraId="7C965827" w14:textId="77777777" w:rsidR="004C0A86" w:rsidRDefault="004C0A86" w:rsidP="004C0A8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74"/>
    <w:rsid w:val="00085769"/>
    <w:rsid w:val="000B4D4F"/>
    <w:rsid w:val="00182258"/>
    <w:rsid w:val="00212363"/>
    <w:rsid w:val="00314974"/>
    <w:rsid w:val="00404933"/>
    <w:rsid w:val="004A2CA9"/>
    <w:rsid w:val="004B7EDD"/>
    <w:rsid w:val="004C0A86"/>
    <w:rsid w:val="005975C5"/>
    <w:rsid w:val="005B7169"/>
    <w:rsid w:val="005D10C8"/>
    <w:rsid w:val="00652163"/>
    <w:rsid w:val="0073535B"/>
    <w:rsid w:val="007A027B"/>
    <w:rsid w:val="00830DC0"/>
    <w:rsid w:val="00831B2F"/>
    <w:rsid w:val="0098771B"/>
    <w:rsid w:val="00A91C67"/>
    <w:rsid w:val="00AC7614"/>
    <w:rsid w:val="00D176ED"/>
    <w:rsid w:val="00E5555F"/>
    <w:rsid w:val="00E96907"/>
    <w:rsid w:val="00EA1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04E5"/>
  <w15:chartTrackingRefBased/>
  <w15:docId w15:val="{4E348E6C-8D46-4697-99D4-AB79905D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49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933"/>
    <w:rPr>
      <w:sz w:val="20"/>
      <w:szCs w:val="20"/>
    </w:rPr>
  </w:style>
  <w:style w:type="character" w:styleId="FootnoteReference">
    <w:name w:val="footnote reference"/>
    <w:basedOn w:val="DefaultParagraphFont"/>
    <w:uiPriority w:val="99"/>
    <w:semiHidden/>
    <w:unhideWhenUsed/>
    <w:rsid w:val="004049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8FF9F-DE91-4FD0-A918-090FFD37C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68</cp:revision>
  <dcterms:created xsi:type="dcterms:W3CDTF">2021-02-18T21:01:00Z</dcterms:created>
  <dcterms:modified xsi:type="dcterms:W3CDTF">2021-02-25T15:55:00Z</dcterms:modified>
</cp:coreProperties>
</file>