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5A7E5" w14:textId="075BB1A9" w:rsidR="00CD3ED4" w:rsidRDefault="001804AA">
      <w:r w:rsidRPr="001804AA">
        <w:rPr>
          <w:b/>
          <w:bCs/>
        </w:rPr>
        <w:t xml:space="preserve">Mary </w:t>
      </w:r>
      <w:r w:rsidR="00030344">
        <w:rPr>
          <w:b/>
          <w:bCs/>
        </w:rPr>
        <w:t xml:space="preserve">Wollstonecraft </w:t>
      </w:r>
      <w:r w:rsidRPr="001804AA">
        <w:rPr>
          <w:b/>
          <w:bCs/>
        </w:rPr>
        <w:t xml:space="preserve">Shelley </w:t>
      </w:r>
      <w:r w:rsidR="00030344">
        <w:t xml:space="preserve">(1797-1851) </w:t>
      </w:r>
    </w:p>
    <w:p w14:paraId="63BB4C3A" w14:textId="236830E0" w:rsidR="004F3B32" w:rsidRDefault="004F3B32"/>
    <w:p w14:paraId="6F27D91D" w14:textId="3003BF16" w:rsidR="004F3B32" w:rsidRPr="004F3B32" w:rsidRDefault="004F3B32">
      <w:r>
        <w:rPr>
          <w:b/>
          <w:bCs/>
        </w:rPr>
        <w:t xml:space="preserve">Place: </w:t>
      </w:r>
      <w:r>
        <w:t>Sandgate</w:t>
      </w:r>
      <w:r w:rsidR="00D40F86">
        <w:t xml:space="preserve">, Hythe, Canterbury </w:t>
      </w:r>
    </w:p>
    <w:p w14:paraId="0B97A3A5" w14:textId="536D9ECC" w:rsidR="00030344" w:rsidRDefault="00030344"/>
    <w:p w14:paraId="2F71D83E" w14:textId="44A99F49" w:rsidR="00030344" w:rsidRDefault="004F3B32">
      <w:r>
        <w:rPr>
          <w:b/>
          <w:bCs/>
        </w:rPr>
        <w:t xml:space="preserve">Publication of Interest: </w:t>
      </w:r>
      <w:r>
        <w:t xml:space="preserve">The Fortunes of Perkin Warbeck </w:t>
      </w:r>
    </w:p>
    <w:p w14:paraId="3A508797" w14:textId="3E6E7E0D" w:rsidR="00AA43BF" w:rsidRDefault="00AA43BF"/>
    <w:p w14:paraId="69F97BB2" w14:textId="6C5F78E0" w:rsidR="00AA43BF" w:rsidRDefault="00AA43BF" w:rsidP="00AA43BF">
      <w:r>
        <w:t>“</w:t>
      </w:r>
      <w:r w:rsidRPr="00AA43BF">
        <w:t xml:space="preserve">In the neighbourhood of </w:t>
      </w:r>
      <w:proofErr w:type="gramStart"/>
      <w:r w:rsidRPr="00AA43BF">
        <w:t>Hythe</w:t>
      </w:r>
      <w:proofErr w:type="gramEnd"/>
      <w:r w:rsidRPr="00AA43BF">
        <w:t xml:space="preserve"> a ravine, the bed of a stream, divides these acclivities, which on one side are abrupt, on the other softly rounded as they gradually disappear</w:t>
      </w:r>
      <w:r>
        <w:t>”</w:t>
      </w:r>
    </w:p>
    <w:p w14:paraId="25AD2096" w14:textId="760A94BB" w:rsidR="00AA43BF" w:rsidRPr="00AA43BF" w:rsidRDefault="00AA43BF" w:rsidP="00AA43BF">
      <w:pPr>
        <w:pStyle w:val="ListParagraph"/>
        <w:numPr>
          <w:ilvl w:val="0"/>
          <w:numId w:val="1"/>
        </w:numPr>
      </w:pPr>
      <w:r>
        <w:t xml:space="preserve">The Fortunes of Perkin Warbeck </w:t>
      </w:r>
    </w:p>
    <w:p w14:paraId="2FE69C87" w14:textId="77777777" w:rsidR="00AA43BF" w:rsidRDefault="00AA43BF"/>
    <w:p w14:paraId="7DD06B65" w14:textId="273A1B04" w:rsidR="004F3B32" w:rsidRDefault="004F3B32"/>
    <w:p w14:paraId="09284648" w14:textId="691CFEBD" w:rsidR="004F3B32" w:rsidRDefault="004F3B32">
      <w:pPr>
        <w:rPr>
          <w:b/>
          <w:bCs/>
        </w:rPr>
      </w:pPr>
    </w:p>
    <w:p w14:paraId="1865768C" w14:textId="47505B73" w:rsidR="004F3B32" w:rsidRDefault="004F3B32">
      <w:pPr>
        <w:rPr>
          <w:b/>
          <w:bCs/>
        </w:rPr>
      </w:pPr>
      <w:r>
        <w:rPr>
          <w:b/>
          <w:bCs/>
        </w:rPr>
        <w:t xml:space="preserve">Article: </w:t>
      </w:r>
    </w:p>
    <w:p w14:paraId="70D12763" w14:textId="22E0EE4A" w:rsidR="004F3B32" w:rsidRDefault="004F3B32">
      <w:pPr>
        <w:rPr>
          <w:b/>
          <w:bCs/>
        </w:rPr>
      </w:pPr>
    </w:p>
    <w:p w14:paraId="2A2240F6" w14:textId="39DC8F83" w:rsidR="004F3B32" w:rsidRDefault="00565CB8">
      <w:r>
        <w:t>In 1</w:t>
      </w:r>
      <w:r w:rsidR="000322B0">
        <w:t>8</w:t>
      </w:r>
      <w:r>
        <w:t xml:space="preserve">32, in order to escape the </w:t>
      </w:r>
      <w:r w:rsidR="0065455C">
        <w:t>c</w:t>
      </w:r>
      <w:r>
        <w:t>holera epidemic in London, Mary Shelley moved to the small coastal town of Sandgate</w:t>
      </w:r>
      <w:r w:rsidR="00296FD4">
        <w:t>, situated between Hythe and Folkestone.</w:t>
      </w:r>
      <w:r>
        <w:t xml:space="preserve"> </w:t>
      </w:r>
      <w:r w:rsidR="000322B0">
        <w:t>It was said that the town was inexpensive and provided a healthy alternative to London for Shelley and her son</w:t>
      </w:r>
      <w:r w:rsidR="00AD0A64">
        <w:t>,</w:t>
      </w:r>
      <w:r w:rsidR="000322B0">
        <w:t xml:space="preserve"> Percy. </w:t>
      </w:r>
      <w:r w:rsidR="00AD0A64">
        <w:t>While in Sandgate</w:t>
      </w:r>
      <w:r w:rsidR="00DF372A">
        <w:t xml:space="preserve"> </w:t>
      </w:r>
      <w:r w:rsidR="00AD0A64">
        <w:t xml:space="preserve">Shelley offered to house her friend Edward John Trelawny’s daughter Maria Julia. Soon after her arrival Shelley </w:t>
      </w:r>
      <w:r w:rsidR="00DF372A">
        <w:t>realised,</w:t>
      </w:r>
      <w:r w:rsidR="00296FD4">
        <w:t xml:space="preserve"> </w:t>
      </w:r>
      <w:r w:rsidR="00AD0A64">
        <w:t xml:space="preserve">she was unhappy with the girl’s company and </w:t>
      </w:r>
      <w:r w:rsidR="00A85BD1">
        <w:t xml:space="preserve">by mid-September she was gone. </w:t>
      </w:r>
      <w:r w:rsidR="00F83651">
        <w:t>Shelley remained in Sandgate until the 10</w:t>
      </w:r>
      <w:r w:rsidR="00F83651" w:rsidRPr="00F83651">
        <w:rPr>
          <w:vertAlign w:val="superscript"/>
        </w:rPr>
        <w:t>th</w:t>
      </w:r>
      <w:r w:rsidR="00F83651">
        <w:t xml:space="preserve"> September</w:t>
      </w:r>
      <w:r w:rsidR="008071ED">
        <w:t xml:space="preserve">, </w:t>
      </w:r>
      <w:r w:rsidR="00F83651">
        <w:t xml:space="preserve">however it is documented that she visited a friend for tea </w:t>
      </w:r>
      <w:r w:rsidR="00552A98">
        <w:t xml:space="preserve">around </w:t>
      </w:r>
      <w:r w:rsidR="00296FD4">
        <w:t xml:space="preserve">the </w:t>
      </w:r>
      <w:r w:rsidR="00F83651">
        <w:t>26</w:t>
      </w:r>
      <w:r w:rsidR="00F83651" w:rsidRPr="00F83651">
        <w:rPr>
          <w:vertAlign w:val="superscript"/>
        </w:rPr>
        <w:t>th</w:t>
      </w:r>
      <w:r w:rsidR="00F83651">
        <w:t xml:space="preserve"> September</w:t>
      </w:r>
      <w:r w:rsidR="00EE7AC4">
        <w:t>, therefore she</w:t>
      </w:r>
      <w:r w:rsidR="00F83651">
        <w:t xml:space="preserve"> may have stayed longer. </w:t>
      </w:r>
      <w:r w:rsidR="008A50EB">
        <w:rPr>
          <w:rStyle w:val="FootnoteReference"/>
        </w:rPr>
        <w:footnoteReference w:id="1"/>
      </w:r>
      <w:r w:rsidR="0065599D">
        <w:t xml:space="preserve"> Sandgate has been home to a host of influential authors, including </w:t>
      </w:r>
      <w:r w:rsidR="00293450">
        <w:t>[</w:t>
      </w:r>
      <w:r w:rsidR="0065599D">
        <w:t xml:space="preserve">H.G </w:t>
      </w:r>
      <w:proofErr w:type="gramStart"/>
      <w:r w:rsidR="0065599D">
        <w:t>Wells</w:t>
      </w:r>
      <w:r w:rsidR="00293450">
        <w:t>](</w:t>
      </w:r>
      <w:proofErr w:type="gramEnd"/>
      <w:r w:rsidR="00293450" w:rsidRPr="00293450">
        <w:t>20c-wellshg-biography</w:t>
      </w:r>
      <w:r w:rsidR="00293450">
        <w:t>)</w:t>
      </w:r>
      <w:r w:rsidR="0065599D">
        <w:t>, who like Shelley, was instrumental in the development of modern science fiction</w:t>
      </w:r>
      <w:r w:rsidR="00296FD4">
        <w:t xml:space="preserve">. </w:t>
      </w:r>
      <w:r w:rsidR="00296FD4">
        <w:rPr>
          <w:rStyle w:val="FootnoteReference"/>
        </w:rPr>
        <w:footnoteReference w:id="2"/>
      </w:r>
    </w:p>
    <w:p w14:paraId="3F7FF9A6" w14:textId="2B992A6D" w:rsidR="00EE7AC4" w:rsidRDefault="00EE7AC4"/>
    <w:p w14:paraId="59D1828B" w14:textId="3C500A9E" w:rsidR="0099429D" w:rsidRPr="0099429D" w:rsidRDefault="00454F18" w:rsidP="0099429D">
      <w:r>
        <w:t>In 1830</w:t>
      </w:r>
      <w:r w:rsidR="0071600E">
        <w:t>, a couple of years before relocating to Kent,</w:t>
      </w:r>
      <w:r>
        <w:t xml:space="preserve"> Shelley published </w:t>
      </w:r>
      <w:r w:rsidR="00293450">
        <w:t>_</w:t>
      </w:r>
      <w:r>
        <w:t>The Fortunes of Perkin Warbeck</w:t>
      </w:r>
      <w:r w:rsidR="00293450">
        <w:t>_</w:t>
      </w:r>
      <w:r>
        <w:t xml:space="preserve">. The </w:t>
      </w:r>
      <w:r w:rsidR="00C65B8E">
        <w:t xml:space="preserve">novel </w:t>
      </w:r>
      <w:r w:rsidR="00F35321">
        <w:t xml:space="preserve">follows </w:t>
      </w:r>
      <w:r w:rsidR="00BD4444">
        <w:t xml:space="preserve">the story of </w:t>
      </w:r>
      <w:r w:rsidR="00F35321">
        <w:t>Perkin Warbeck</w:t>
      </w:r>
      <w:r w:rsidR="00AA43BF">
        <w:t>, historically viewed as a pretender set on claiming the throne</w:t>
      </w:r>
      <w:r w:rsidR="00BD4444">
        <w:t>.</w:t>
      </w:r>
      <w:r w:rsidR="00552A98">
        <w:t xml:space="preserve"> However, </w:t>
      </w:r>
      <w:r w:rsidR="00BD4444">
        <w:t xml:space="preserve">the novel </w:t>
      </w:r>
      <w:r w:rsidR="006E77F5">
        <w:t>follows</w:t>
      </w:r>
      <w:r w:rsidR="00BD4444">
        <w:t xml:space="preserve"> the consensus that he was in fact</w:t>
      </w:r>
      <w:r w:rsidR="00AA43BF">
        <w:t xml:space="preserve"> the Duke of York, Prince Richard. The novel </w:t>
      </w:r>
      <w:r w:rsidR="00F54502">
        <w:t xml:space="preserve">tells of </w:t>
      </w:r>
      <w:r w:rsidR="00AA43BF">
        <w:t xml:space="preserve">the adventures and tribulations of Richard, </w:t>
      </w:r>
      <w:r w:rsidR="006E77F5">
        <w:t xml:space="preserve">but also </w:t>
      </w:r>
      <w:r w:rsidR="00AA43BF">
        <w:t>focuses closely on the female characters</w:t>
      </w:r>
      <w:r w:rsidR="006E77F5">
        <w:t>.</w:t>
      </w:r>
      <w:r w:rsidR="00AA43BF">
        <w:t xml:space="preserve"> </w:t>
      </w:r>
      <w:r w:rsidR="00E76103">
        <w:t>In volume II chapter nine Shelley describe</w:t>
      </w:r>
      <w:r w:rsidR="00D40F86">
        <w:t xml:space="preserve">s in detail the importance of </w:t>
      </w:r>
      <w:r w:rsidR="00DA1852">
        <w:t xml:space="preserve">Canterbury and </w:t>
      </w:r>
      <w:r w:rsidR="00D40F86">
        <w:t xml:space="preserve">Hythe’s position </w:t>
      </w:r>
      <w:r w:rsidR="00DA1852">
        <w:t xml:space="preserve">and pays particular attention to </w:t>
      </w:r>
      <w:r w:rsidR="00D40F86">
        <w:t xml:space="preserve">the beauty </w:t>
      </w:r>
      <w:r w:rsidR="000C1F71">
        <w:t xml:space="preserve">of Hythe and its surrounding areas. </w:t>
      </w:r>
      <w:r w:rsidR="0099429D">
        <w:t>She also look</w:t>
      </w:r>
      <w:r w:rsidR="00F809AE">
        <w:t>s</w:t>
      </w:r>
      <w:r w:rsidR="0099429D">
        <w:t xml:space="preserve"> at the social position of Hythe and its residents highlighting that “t</w:t>
      </w:r>
      <w:r w:rsidR="0099429D" w:rsidRPr="0099429D">
        <w:t xml:space="preserve">he people of Hythe, fishers, or such poor traders as supplied the fishermen with a few coarse necessaries, were </w:t>
      </w:r>
      <w:proofErr w:type="spellStart"/>
      <w:r w:rsidR="0099429D" w:rsidRPr="0099429D">
        <w:t>rouzed</w:t>
      </w:r>
      <w:proofErr w:type="spellEnd"/>
      <w:r w:rsidR="0099429D" w:rsidRPr="0099429D">
        <w:t xml:space="preserve"> from the usual monotony of their lives by the aspect of this fleet.</w:t>
      </w:r>
      <w:r w:rsidR="0099429D">
        <w:t>”</w:t>
      </w:r>
      <w:r w:rsidR="00F54502">
        <w:t xml:space="preserve"> </w:t>
      </w:r>
      <w:r w:rsidR="00F54502">
        <w:rPr>
          <w:rStyle w:val="FootnoteReference"/>
        </w:rPr>
        <w:footnoteReference w:id="3"/>
      </w:r>
      <w:r w:rsidR="0071600E">
        <w:t xml:space="preserve"> </w:t>
      </w:r>
      <w:r w:rsidR="008711CC">
        <w:t xml:space="preserve">She captures the importance of the south coast, whilst also drawing attention to its residence and landscapes. </w:t>
      </w:r>
    </w:p>
    <w:p w14:paraId="506B9385" w14:textId="5589F36C" w:rsidR="0099429D" w:rsidRPr="0099429D" w:rsidRDefault="0099429D" w:rsidP="0099429D"/>
    <w:p w14:paraId="534963A9" w14:textId="77777777" w:rsidR="00DA43C0" w:rsidRDefault="00DA43C0">
      <w:pPr>
        <w:rPr>
          <w:b/>
          <w:bCs/>
        </w:rPr>
      </w:pPr>
    </w:p>
    <w:p w14:paraId="12830188" w14:textId="77777777" w:rsidR="00DA43C0" w:rsidRDefault="00DA43C0">
      <w:pPr>
        <w:rPr>
          <w:b/>
          <w:bCs/>
        </w:rPr>
      </w:pPr>
    </w:p>
    <w:p w14:paraId="60EE83D0" w14:textId="77777777" w:rsidR="00DA43C0" w:rsidRDefault="00DA43C0">
      <w:pPr>
        <w:rPr>
          <w:b/>
          <w:bCs/>
        </w:rPr>
      </w:pPr>
    </w:p>
    <w:p w14:paraId="1F9A8E8E" w14:textId="46DE8058" w:rsidR="004F3B32" w:rsidRDefault="008711CC">
      <w:pPr>
        <w:rPr>
          <w:b/>
          <w:bCs/>
        </w:rPr>
      </w:pPr>
      <w:r w:rsidRPr="008711CC">
        <w:rPr>
          <w:b/>
          <w:bCs/>
        </w:rPr>
        <w:t xml:space="preserve">Bibliography </w:t>
      </w:r>
    </w:p>
    <w:p w14:paraId="551F01FD" w14:textId="219C332F" w:rsidR="008711CC" w:rsidRDefault="008711CC">
      <w:pPr>
        <w:rPr>
          <w:b/>
          <w:bCs/>
        </w:rPr>
      </w:pPr>
    </w:p>
    <w:p w14:paraId="691C5761" w14:textId="07FEDBE6" w:rsidR="008711CC" w:rsidRDefault="008711CC" w:rsidP="008711CC">
      <w:pPr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lastRenderedPageBreak/>
        <w:t>F</w:t>
      </w:r>
      <w:r w:rsidRPr="008711CC">
        <w:rPr>
          <w:rFonts w:eastAsia="Times New Roman" w:cstheme="minorHAnsi"/>
          <w:color w:val="000000" w:themeColor="text1"/>
          <w:lang w:eastAsia="en-GB"/>
        </w:rPr>
        <w:t>eldman, Paula R., and Diana Scott-</w:t>
      </w:r>
      <w:proofErr w:type="spellStart"/>
      <w:r w:rsidRPr="008711CC">
        <w:rPr>
          <w:rFonts w:eastAsia="Times New Roman" w:cstheme="minorHAnsi"/>
          <w:color w:val="000000" w:themeColor="text1"/>
          <w:lang w:eastAsia="en-GB"/>
        </w:rPr>
        <w:t>Kilvert</w:t>
      </w:r>
      <w:proofErr w:type="spellEnd"/>
      <w:r w:rsidRPr="008711CC">
        <w:rPr>
          <w:rFonts w:eastAsia="Times New Roman" w:cstheme="minorHAnsi"/>
          <w:color w:val="000000" w:themeColor="text1"/>
          <w:lang w:eastAsia="en-GB"/>
        </w:rPr>
        <w:t>, eds. </w:t>
      </w:r>
      <w:r w:rsidR="00293450">
        <w:rPr>
          <w:rFonts w:eastAsia="Times New Roman" w:cstheme="minorHAnsi"/>
          <w:color w:val="000000" w:themeColor="text1"/>
          <w:lang w:eastAsia="en-GB"/>
        </w:rPr>
        <w:t>_</w:t>
      </w:r>
      <w:r w:rsidRPr="008711CC">
        <w:rPr>
          <w:rFonts w:eastAsia="Times New Roman" w:cstheme="minorHAnsi"/>
          <w:i/>
          <w:iCs/>
          <w:color w:val="000000" w:themeColor="text1"/>
          <w:lang w:eastAsia="en-GB"/>
        </w:rPr>
        <w:t>The Journals of Mary Shelley, 1814–1844</w:t>
      </w:r>
      <w:r w:rsidR="00293450">
        <w:rPr>
          <w:rFonts w:eastAsia="Times New Roman" w:cstheme="minorHAnsi"/>
          <w:i/>
          <w:iCs/>
          <w:color w:val="000000" w:themeColor="text1"/>
          <w:lang w:eastAsia="en-GB"/>
        </w:rPr>
        <w:t>_</w:t>
      </w:r>
      <w:r w:rsidRPr="008711CC">
        <w:rPr>
          <w:rFonts w:eastAsia="Times New Roman" w:cstheme="minorHAnsi"/>
          <w:i/>
          <w:iCs/>
          <w:color w:val="000000" w:themeColor="text1"/>
          <w:lang w:eastAsia="en-GB"/>
        </w:rPr>
        <w:t>.</w:t>
      </w:r>
      <w:r w:rsidRPr="008711CC">
        <w:rPr>
          <w:rFonts w:eastAsia="Times New Roman" w:cstheme="minorHAnsi"/>
          <w:color w:val="000000" w:themeColor="text1"/>
          <w:lang w:eastAsia="en-GB"/>
        </w:rPr>
        <w:t> Vol. 2: </w:t>
      </w:r>
      <w:r w:rsidRPr="008711CC">
        <w:rPr>
          <w:rFonts w:eastAsia="Times New Roman" w:cstheme="minorHAnsi"/>
          <w:i/>
          <w:iCs/>
          <w:color w:val="000000" w:themeColor="text1"/>
          <w:lang w:eastAsia="en-GB"/>
        </w:rPr>
        <w:t>1822–1844</w:t>
      </w:r>
      <w:r w:rsidRPr="008711CC">
        <w:rPr>
          <w:rFonts w:eastAsia="Times New Roman" w:cstheme="minorHAnsi"/>
          <w:color w:val="000000" w:themeColor="text1"/>
          <w:lang w:eastAsia="en-GB"/>
        </w:rPr>
        <w:t>. Oxford: Oxford University Press, 1987. </w:t>
      </w:r>
      <w:r w:rsidR="00293450">
        <w:rPr>
          <w:rFonts w:eastAsia="Times New Roman" w:cstheme="minorHAnsi"/>
          <w:color w:val="000000" w:themeColor="text1"/>
          <w:lang w:eastAsia="en-GB"/>
        </w:rPr>
        <w:t>_</w:t>
      </w:r>
      <w:r w:rsidRPr="008711CC">
        <w:rPr>
          <w:rFonts w:eastAsia="Times New Roman" w:cstheme="minorHAnsi"/>
          <w:i/>
          <w:iCs/>
          <w:color w:val="000000" w:themeColor="text1"/>
          <w:lang w:eastAsia="en-GB"/>
        </w:rPr>
        <w:t>Oxford Scholarly Editions Online</w:t>
      </w:r>
      <w:r w:rsidR="00293450">
        <w:rPr>
          <w:rFonts w:eastAsia="Times New Roman" w:cstheme="minorHAnsi"/>
          <w:i/>
          <w:iCs/>
          <w:color w:val="000000" w:themeColor="text1"/>
          <w:lang w:eastAsia="en-GB"/>
        </w:rPr>
        <w:t>_</w:t>
      </w:r>
      <w:r w:rsidRPr="008711CC">
        <w:rPr>
          <w:rFonts w:eastAsia="Times New Roman" w:cstheme="minorHAnsi"/>
          <w:color w:val="000000" w:themeColor="text1"/>
          <w:lang w:eastAsia="en-GB"/>
        </w:rPr>
        <w:t>, 21 May 2015.</w:t>
      </w:r>
      <w:r w:rsidR="00177103">
        <w:rPr>
          <w:rFonts w:eastAsia="Times New Roman" w:cstheme="minorHAnsi"/>
          <w:color w:val="000000" w:themeColor="text1"/>
          <w:lang w:eastAsia="en-GB"/>
        </w:rPr>
        <w:t xml:space="preserve"> Accessed 05/08/2020</w:t>
      </w:r>
    </w:p>
    <w:p w14:paraId="64BDAB08" w14:textId="4712E8D7" w:rsidR="00804F0E" w:rsidRDefault="00804F0E" w:rsidP="008711CC">
      <w:pPr>
        <w:rPr>
          <w:rFonts w:eastAsia="Times New Roman" w:cstheme="minorHAnsi"/>
          <w:color w:val="000000" w:themeColor="text1"/>
          <w:lang w:eastAsia="en-GB"/>
        </w:rPr>
      </w:pPr>
    </w:p>
    <w:p w14:paraId="2E4C86B8" w14:textId="03546EB8" w:rsidR="00804F0E" w:rsidRPr="00804F0E" w:rsidRDefault="00804F0E" w:rsidP="00804F0E">
      <w:pPr>
        <w:rPr>
          <w:rFonts w:eastAsia="Times New Roman" w:cstheme="minorHAnsi"/>
          <w:color w:val="000000" w:themeColor="text1"/>
          <w:lang w:eastAsia="en-GB"/>
        </w:rPr>
      </w:pPr>
      <w:r w:rsidRPr="00804F0E">
        <w:rPr>
          <w:rFonts w:eastAsia="Times New Roman" w:cstheme="minorHAnsi"/>
          <w:color w:val="000000" w:themeColor="text1"/>
          <w:lang w:eastAsia="en-GB"/>
        </w:rPr>
        <w:t>Shelley, Mary Wollstonecraft. </w:t>
      </w:r>
      <w:r w:rsidR="00293450">
        <w:rPr>
          <w:rFonts w:eastAsia="Times New Roman" w:cstheme="minorHAnsi"/>
          <w:color w:val="000000" w:themeColor="text1"/>
          <w:lang w:eastAsia="en-GB"/>
        </w:rPr>
        <w:t>_</w:t>
      </w:r>
      <w:r w:rsidRPr="00804F0E">
        <w:rPr>
          <w:rFonts w:eastAsia="Times New Roman" w:cstheme="minorHAnsi"/>
          <w:i/>
          <w:iCs/>
          <w:color w:val="000000" w:themeColor="text1"/>
          <w:lang w:eastAsia="en-GB"/>
        </w:rPr>
        <w:t>The Fortunes of Perkin Warbeck, A Romance. by the Author of “</w:t>
      </w:r>
      <w:proofErr w:type="gramStart"/>
      <w:r w:rsidRPr="00804F0E">
        <w:rPr>
          <w:rFonts w:eastAsia="Times New Roman" w:cstheme="minorHAnsi"/>
          <w:i/>
          <w:iCs/>
          <w:color w:val="000000" w:themeColor="text1"/>
          <w:lang w:eastAsia="en-GB"/>
        </w:rPr>
        <w:t>Frankenstein.“</w:t>
      </w:r>
      <w:proofErr w:type="gramEnd"/>
      <w:r w:rsidR="00293450">
        <w:rPr>
          <w:rFonts w:eastAsia="Times New Roman" w:cstheme="minorHAnsi"/>
          <w:i/>
          <w:iCs/>
          <w:color w:val="000000" w:themeColor="text1"/>
          <w:lang w:eastAsia="en-GB"/>
        </w:rPr>
        <w:t>_</w:t>
      </w:r>
      <w:r w:rsidRPr="00804F0E">
        <w:rPr>
          <w:rFonts w:eastAsia="Times New Roman" w:cstheme="minorHAnsi"/>
          <w:i/>
          <w:iCs/>
          <w:color w:val="000000" w:themeColor="text1"/>
          <w:lang w:eastAsia="en-GB"/>
        </w:rPr>
        <w:t xml:space="preserve"> </w:t>
      </w:r>
      <w:r w:rsidR="00293450">
        <w:rPr>
          <w:rFonts w:eastAsia="Times New Roman" w:cstheme="minorHAnsi"/>
          <w:i/>
          <w:iCs/>
          <w:color w:val="000000" w:themeColor="text1"/>
          <w:lang w:eastAsia="en-GB"/>
        </w:rPr>
        <w:t>I</w:t>
      </w:r>
      <w:r w:rsidRPr="00804F0E">
        <w:rPr>
          <w:rFonts w:eastAsia="Times New Roman" w:cstheme="minorHAnsi"/>
          <w:i/>
          <w:iCs/>
          <w:color w:val="000000" w:themeColor="text1"/>
          <w:lang w:eastAsia="en-GB"/>
        </w:rPr>
        <w:t>n Three Volumes</w:t>
      </w:r>
      <w:r w:rsidRPr="00804F0E">
        <w:rPr>
          <w:rFonts w:eastAsia="Times New Roman" w:cstheme="minorHAnsi"/>
          <w:color w:val="000000" w:themeColor="text1"/>
          <w:lang w:eastAsia="en-GB"/>
        </w:rPr>
        <w:t xml:space="preserve">. </w:t>
      </w:r>
      <w:proofErr w:type="gramStart"/>
      <w:r w:rsidRPr="00804F0E">
        <w:rPr>
          <w:rFonts w:eastAsia="Times New Roman" w:cstheme="minorHAnsi"/>
          <w:color w:val="000000" w:themeColor="text1"/>
          <w:lang w:eastAsia="en-GB"/>
        </w:rPr>
        <w:t>London:,</w:t>
      </w:r>
      <w:proofErr w:type="gramEnd"/>
      <w:r w:rsidRPr="00804F0E">
        <w:rPr>
          <w:rFonts w:eastAsia="Times New Roman" w:cstheme="minorHAnsi"/>
          <w:color w:val="000000" w:themeColor="text1"/>
          <w:lang w:eastAsia="en-GB"/>
        </w:rPr>
        <w:t xml:space="preserve"> 1830. </w:t>
      </w:r>
      <w:r w:rsidRPr="00804F0E">
        <w:rPr>
          <w:rFonts w:eastAsia="Times New Roman" w:cstheme="minorHAnsi"/>
          <w:i/>
          <w:iCs/>
          <w:color w:val="000000" w:themeColor="text1"/>
          <w:lang w:eastAsia="en-GB"/>
        </w:rPr>
        <w:t>ProQuest. </w:t>
      </w:r>
      <w:r w:rsidR="00177103">
        <w:rPr>
          <w:rFonts w:eastAsia="Times New Roman" w:cstheme="minorHAnsi"/>
          <w:color w:val="000000" w:themeColor="text1"/>
          <w:lang w:eastAsia="en-GB"/>
        </w:rPr>
        <w:t>Accessed 05/08/2020</w:t>
      </w:r>
    </w:p>
    <w:p w14:paraId="784B6B00" w14:textId="0054E14E" w:rsidR="008711CC" w:rsidRDefault="008711CC" w:rsidP="008711CC">
      <w:pPr>
        <w:rPr>
          <w:rFonts w:eastAsia="Times New Roman" w:cstheme="minorHAnsi"/>
          <w:color w:val="000000" w:themeColor="text1"/>
          <w:lang w:eastAsia="en-GB"/>
        </w:rPr>
      </w:pPr>
    </w:p>
    <w:p w14:paraId="58B17592" w14:textId="77376C1E" w:rsidR="008711CC" w:rsidRDefault="008711CC" w:rsidP="008711CC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 w:rsidRPr="009519CE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Sherborne, Michael. </w:t>
      </w:r>
      <w:r w:rsidR="00293450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_</w:t>
      </w:r>
      <w:r w:rsidRPr="009519CE">
        <w:rPr>
          <w:rFonts w:eastAsia="Times New Roman" w:cstheme="minorHAnsi"/>
          <w:i/>
          <w:iCs/>
          <w:color w:val="000000" w:themeColor="text1"/>
          <w:lang w:eastAsia="en-GB"/>
        </w:rPr>
        <w:t>H.G. Wells: Another Kind of Life</w:t>
      </w:r>
      <w:r w:rsidR="00293450">
        <w:rPr>
          <w:rFonts w:eastAsia="Times New Roman" w:cstheme="minorHAnsi"/>
          <w:i/>
          <w:iCs/>
          <w:color w:val="000000" w:themeColor="text1"/>
          <w:lang w:eastAsia="en-GB"/>
        </w:rPr>
        <w:t>_</w:t>
      </w:r>
      <w:r w:rsidRPr="009519CE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, Peter Owen Publishers, 2013. ProQuest </w:t>
      </w:r>
      <w:proofErr w:type="spellStart"/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E</w:t>
      </w:r>
      <w:r w:rsidRPr="009519CE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book</w:t>
      </w:r>
      <w:proofErr w:type="spellEnd"/>
      <w:r w:rsidRPr="009519CE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Central</w:t>
      </w:r>
      <w:r w:rsidR="00146DD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.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Accessed 05/08/2020 </w:t>
      </w:r>
    </w:p>
    <w:p w14:paraId="53541C04" w14:textId="15986FA1" w:rsidR="008711CC" w:rsidRDefault="008711CC" w:rsidP="008711CC">
      <w:pPr>
        <w:rPr>
          <w:rFonts w:eastAsia="Times New Roman" w:cstheme="minorHAnsi"/>
          <w:color w:val="000000" w:themeColor="text1"/>
          <w:lang w:eastAsia="en-GB"/>
        </w:rPr>
      </w:pPr>
    </w:p>
    <w:p w14:paraId="13FF391A" w14:textId="77777777" w:rsidR="00804F0E" w:rsidRPr="008711CC" w:rsidRDefault="00804F0E" w:rsidP="008711CC">
      <w:pPr>
        <w:rPr>
          <w:rFonts w:eastAsia="Times New Roman" w:cstheme="minorHAnsi"/>
          <w:color w:val="000000" w:themeColor="text1"/>
          <w:lang w:eastAsia="en-GB"/>
        </w:rPr>
      </w:pPr>
    </w:p>
    <w:p w14:paraId="5184F2D5" w14:textId="77777777" w:rsidR="008711CC" w:rsidRPr="008711CC" w:rsidRDefault="008711CC" w:rsidP="008711CC">
      <w:pPr>
        <w:rPr>
          <w:rFonts w:eastAsia="Times New Roman" w:cstheme="minorHAnsi"/>
          <w:color w:val="000000" w:themeColor="text1"/>
          <w:lang w:eastAsia="en-GB"/>
        </w:rPr>
      </w:pPr>
    </w:p>
    <w:p w14:paraId="0064579D" w14:textId="77777777" w:rsidR="008711CC" w:rsidRPr="008711CC" w:rsidRDefault="008711CC">
      <w:pPr>
        <w:rPr>
          <w:b/>
          <w:bCs/>
        </w:rPr>
      </w:pPr>
    </w:p>
    <w:sectPr w:rsidR="008711CC" w:rsidRPr="008711CC" w:rsidSect="005E58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6B5C9" w14:textId="77777777" w:rsidR="00542448" w:rsidRDefault="00542448" w:rsidP="008A50EB">
      <w:r>
        <w:separator/>
      </w:r>
    </w:p>
  </w:endnote>
  <w:endnote w:type="continuationSeparator" w:id="0">
    <w:p w14:paraId="56FD9E43" w14:textId="77777777" w:rsidR="00542448" w:rsidRDefault="00542448" w:rsidP="008A5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202B2" w14:textId="77777777" w:rsidR="00542448" w:rsidRDefault="00542448" w:rsidP="008A50EB">
      <w:r>
        <w:separator/>
      </w:r>
    </w:p>
  </w:footnote>
  <w:footnote w:type="continuationSeparator" w:id="0">
    <w:p w14:paraId="4244EE2F" w14:textId="77777777" w:rsidR="00542448" w:rsidRDefault="00542448" w:rsidP="008A50EB">
      <w:r>
        <w:continuationSeparator/>
      </w:r>
    </w:p>
  </w:footnote>
  <w:footnote w:id="1">
    <w:p w14:paraId="1E5C3321" w14:textId="2EAE7298" w:rsidR="008A50EB" w:rsidRDefault="008A50EB">
      <w:pPr>
        <w:pStyle w:val="FootnoteText"/>
      </w:pPr>
      <w:r>
        <w:rPr>
          <w:rStyle w:val="FootnoteReference"/>
        </w:rPr>
        <w:footnoteRef/>
      </w:r>
      <w:r>
        <w:t xml:space="preserve"> 525, Footnote 6, Shelley </w:t>
      </w:r>
    </w:p>
  </w:footnote>
  <w:footnote w:id="2">
    <w:p w14:paraId="009BA330" w14:textId="08BC9501" w:rsidR="00296FD4" w:rsidRDefault="00296FD4">
      <w:pPr>
        <w:pStyle w:val="FootnoteText"/>
      </w:pPr>
      <w:r>
        <w:rPr>
          <w:rStyle w:val="FootnoteReference"/>
        </w:rPr>
        <w:footnoteRef/>
      </w:r>
      <w:r>
        <w:t xml:space="preserve"> Sherborne </w:t>
      </w:r>
    </w:p>
  </w:footnote>
  <w:footnote w:id="3">
    <w:p w14:paraId="0CE57C4A" w14:textId="4C5B1D71" w:rsidR="00F54502" w:rsidRDefault="00F54502">
      <w:pPr>
        <w:pStyle w:val="FootnoteText"/>
      </w:pPr>
      <w:r>
        <w:rPr>
          <w:rStyle w:val="FootnoteReference"/>
        </w:rPr>
        <w:footnoteRef/>
      </w:r>
      <w:r>
        <w:t xml:space="preserve"> Shelley, Chapter IX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C20F6"/>
    <w:multiLevelType w:val="hybridMultilevel"/>
    <w:tmpl w:val="E036FC0A"/>
    <w:lvl w:ilvl="0" w:tplc="BE7890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AA"/>
    <w:rsid w:val="00030344"/>
    <w:rsid w:val="000322B0"/>
    <w:rsid w:val="000C1F71"/>
    <w:rsid w:val="0014222E"/>
    <w:rsid w:val="00146DDF"/>
    <w:rsid w:val="00147FB2"/>
    <w:rsid w:val="00177103"/>
    <w:rsid w:val="001804AA"/>
    <w:rsid w:val="001A7CBE"/>
    <w:rsid w:val="00293450"/>
    <w:rsid w:val="00296FD4"/>
    <w:rsid w:val="002C3202"/>
    <w:rsid w:val="00375806"/>
    <w:rsid w:val="003A1B18"/>
    <w:rsid w:val="00415CE6"/>
    <w:rsid w:val="00454F18"/>
    <w:rsid w:val="00462674"/>
    <w:rsid w:val="004F3B32"/>
    <w:rsid w:val="00542448"/>
    <w:rsid w:val="00552A98"/>
    <w:rsid w:val="00565CB8"/>
    <w:rsid w:val="005A5461"/>
    <w:rsid w:val="005E585F"/>
    <w:rsid w:val="00605862"/>
    <w:rsid w:val="00623F3B"/>
    <w:rsid w:val="0065455C"/>
    <w:rsid w:val="0065599D"/>
    <w:rsid w:val="006A6171"/>
    <w:rsid w:val="006E77F5"/>
    <w:rsid w:val="0071600E"/>
    <w:rsid w:val="00804F0E"/>
    <w:rsid w:val="008071ED"/>
    <w:rsid w:val="008711CC"/>
    <w:rsid w:val="008A50EB"/>
    <w:rsid w:val="0099429D"/>
    <w:rsid w:val="00A85BD1"/>
    <w:rsid w:val="00AA43BF"/>
    <w:rsid w:val="00AD0A64"/>
    <w:rsid w:val="00BD4444"/>
    <w:rsid w:val="00C34D4C"/>
    <w:rsid w:val="00C60F7A"/>
    <w:rsid w:val="00C65B8E"/>
    <w:rsid w:val="00CD3ED4"/>
    <w:rsid w:val="00D40F86"/>
    <w:rsid w:val="00DA1852"/>
    <w:rsid w:val="00DA43C0"/>
    <w:rsid w:val="00DF372A"/>
    <w:rsid w:val="00E657C9"/>
    <w:rsid w:val="00E76103"/>
    <w:rsid w:val="00E818A7"/>
    <w:rsid w:val="00ED6C4F"/>
    <w:rsid w:val="00EE7879"/>
    <w:rsid w:val="00EE7AC4"/>
    <w:rsid w:val="00F03E56"/>
    <w:rsid w:val="00F35321"/>
    <w:rsid w:val="00F54502"/>
    <w:rsid w:val="00F809AE"/>
    <w:rsid w:val="00F83651"/>
    <w:rsid w:val="00FD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05C1"/>
  <w15:chartTrackingRefBased/>
  <w15:docId w15:val="{47972C78-240A-1741-854A-4F3A423D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A50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0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50EB"/>
    <w:rPr>
      <w:vertAlign w:val="superscript"/>
    </w:rPr>
  </w:style>
  <w:style w:type="paragraph" w:styleId="ListParagraph">
    <w:name w:val="List Paragraph"/>
    <w:basedOn w:val="Normal"/>
    <w:uiPriority w:val="34"/>
    <w:qFormat/>
    <w:rsid w:val="00AA4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1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9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95025033-E9F7-E24C-9254-16CC1DCB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Blandford, Simone</dc:creator>
  <cp:keywords/>
  <dc:description/>
  <cp:lastModifiedBy>PAUL CAMPBELL</cp:lastModifiedBy>
  <cp:revision>2</cp:revision>
  <dcterms:created xsi:type="dcterms:W3CDTF">2020-08-11T12:18:00Z</dcterms:created>
  <dcterms:modified xsi:type="dcterms:W3CDTF">2020-08-11T12:18:00Z</dcterms:modified>
</cp:coreProperties>
</file>