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E4117F" w14:textId="628911D1" w:rsidR="00C657BB" w:rsidRDefault="00C657BB" w:rsidP="000C263E">
      <w:pPr>
        <w:spacing w:line="360" w:lineRule="auto"/>
        <w:rPr>
          <w:rFonts w:cstheme="minorHAnsi"/>
          <w:szCs w:val="24"/>
        </w:rPr>
      </w:pPr>
      <w:r w:rsidRPr="00C657BB">
        <w:rPr>
          <w:rFonts w:cstheme="minorHAnsi"/>
          <w:szCs w:val="24"/>
          <w:highlight w:val="yellow"/>
        </w:rPr>
        <w:t>CO to MC: images for this are ‘</w:t>
      </w:r>
      <w:proofErr w:type="spellStart"/>
      <w:r w:rsidRPr="00C657BB">
        <w:rPr>
          <w:rFonts w:cstheme="minorHAnsi"/>
          <w:szCs w:val="24"/>
          <w:highlight w:val="yellow"/>
        </w:rPr>
        <w:t>Sissinghurst</w:t>
      </w:r>
      <w:proofErr w:type="spellEnd"/>
      <w:r w:rsidRPr="00C657BB">
        <w:rPr>
          <w:rFonts w:cstheme="minorHAnsi"/>
          <w:szCs w:val="24"/>
          <w:highlight w:val="yellow"/>
        </w:rPr>
        <w:t xml:space="preserve"> ICVWW’ and ‘</w:t>
      </w:r>
      <w:proofErr w:type="spellStart"/>
      <w:r w:rsidRPr="00C657BB">
        <w:rPr>
          <w:rFonts w:cstheme="minorHAnsi"/>
          <w:szCs w:val="24"/>
          <w:highlight w:val="yellow"/>
        </w:rPr>
        <w:t>Sissinghurst</w:t>
      </w:r>
      <w:proofErr w:type="spellEnd"/>
      <w:r w:rsidRPr="00C657BB">
        <w:rPr>
          <w:rFonts w:cstheme="minorHAnsi"/>
          <w:szCs w:val="24"/>
          <w:highlight w:val="yellow"/>
        </w:rPr>
        <w:t xml:space="preserve"> Nursey’</w:t>
      </w:r>
    </w:p>
    <w:p w14:paraId="7B575EAD" w14:textId="77777777" w:rsidR="00C657BB" w:rsidRDefault="00C657BB" w:rsidP="000C263E">
      <w:pPr>
        <w:spacing w:line="360" w:lineRule="auto"/>
        <w:rPr>
          <w:rFonts w:cstheme="minorHAnsi"/>
          <w:szCs w:val="24"/>
        </w:rPr>
      </w:pPr>
    </w:p>
    <w:p w14:paraId="333DAE4D" w14:textId="328033FE" w:rsidR="001F74F8" w:rsidRPr="00C657BB" w:rsidRDefault="0041601E" w:rsidP="000C263E">
      <w:pPr>
        <w:spacing w:line="360" w:lineRule="auto"/>
        <w:rPr>
          <w:rFonts w:cstheme="minorHAnsi"/>
          <w:b/>
          <w:bCs/>
          <w:szCs w:val="24"/>
        </w:rPr>
      </w:pPr>
      <w:r w:rsidRPr="00C657BB">
        <w:rPr>
          <w:rFonts w:cstheme="minorHAnsi"/>
          <w:b/>
          <w:bCs/>
          <w:szCs w:val="24"/>
        </w:rPr>
        <w:t xml:space="preserve">Vita Sackville-West (1892-1962) </w:t>
      </w:r>
    </w:p>
    <w:p w14:paraId="2D710705" w14:textId="168D754D" w:rsidR="000F00F0" w:rsidRDefault="00EF7B29" w:rsidP="000C263E">
      <w:pPr>
        <w:spacing w:line="360" w:lineRule="auto"/>
        <w:rPr>
          <w:rFonts w:cstheme="minorHAnsi"/>
          <w:szCs w:val="24"/>
        </w:rPr>
      </w:pPr>
      <w:proofErr w:type="spellStart"/>
      <w:r>
        <w:rPr>
          <w:rFonts w:cstheme="minorHAnsi"/>
          <w:szCs w:val="24"/>
        </w:rPr>
        <w:t>Sissinghurst</w:t>
      </w:r>
      <w:proofErr w:type="spellEnd"/>
      <w:r>
        <w:rPr>
          <w:rFonts w:cstheme="minorHAnsi"/>
          <w:szCs w:val="24"/>
        </w:rPr>
        <w:t xml:space="preserve">, </w:t>
      </w:r>
      <w:proofErr w:type="spellStart"/>
      <w:r>
        <w:rPr>
          <w:rFonts w:cstheme="minorHAnsi"/>
          <w:szCs w:val="24"/>
        </w:rPr>
        <w:t>Knole</w:t>
      </w:r>
      <w:proofErr w:type="spellEnd"/>
      <w:r>
        <w:rPr>
          <w:rFonts w:cstheme="minorHAnsi"/>
          <w:szCs w:val="24"/>
        </w:rPr>
        <w:t>, Long Barn</w:t>
      </w:r>
      <w:r w:rsidR="006725A9">
        <w:rPr>
          <w:rFonts w:cstheme="minorHAnsi"/>
          <w:szCs w:val="24"/>
        </w:rPr>
        <w:t xml:space="preserve">, </w:t>
      </w:r>
      <w:proofErr w:type="spellStart"/>
      <w:r w:rsidR="006725A9">
        <w:rPr>
          <w:rFonts w:cstheme="minorHAnsi"/>
          <w:szCs w:val="24"/>
        </w:rPr>
        <w:t>Groombridge</w:t>
      </w:r>
      <w:proofErr w:type="spellEnd"/>
      <w:r w:rsidR="006725A9">
        <w:rPr>
          <w:rFonts w:cstheme="minorHAnsi"/>
          <w:szCs w:val="24"/>
        </w:rPr>
        <w:t xml:space="preserve"> Place</w:t>
      </w:r>
    </w:p>
    <w:p w14:paraId="4BD9CDCF" w14:textId="77777777" w:rsidR="000C263E" w:rsidRDefault="000C263E" w:rsidP="000C263E">
      <w:pPr>
        <w:spacing w:line="360" w:lineRule="auto"/>
        <w:rPr>
          <w:rFonts w:cstheme="minorHAnsi"/>
          <w:color w:val="141823"/>
          <w:szCs w:val="24"/>
        </w:rPr>
      </w:pPr>
    </w:p>
    <w:p w14:paraId="731A392F" w14:textId="77777777" w:rsidR="000C263E" w:rsidRDefault="000C263E" w:rsidP="000C263E">
      <w:pPr>
        <w:spacing w:after="0" w:line="360" w:lineRule="auto"/>
        <w:ind w:left="2160"/>
        <w:rPr>
          <w:rFonts w:cstheme="minorHAnsi"/>
          <w:color w:val="141823"/>
          <w:szCs w:val="24"/>
        </w:rPr>
      </w:pPr>
      <w:r>
        <w:rPr>
          <w:rFonts w:cstheme="minorHAnsi"/>
          <w:color w:val="141823"/>
          <w:szCs w:val="24"/>
        </w:rPr>
        <w:t>The autumn bonfire smokes across the woods</w:t>
      </w:r>
    </w:p>
    <w:p w14:paraId="5010A5C0" w14:textId="77777777" w:rsidR="000C263E" w:rsidRDefault="000C263E" w:rsidP="000C263E">
      <w:pPr>
        <w:spacing w:after="0" w:line="360" w:lineRule="auto"/>
        <w:ind w:left="2160"/>
        <w:rPr>
          <w:rFonts w:cstheme="minorHAnsi"/>
          <w:color w:val="141823"/>
          <w:szCs w:val="24"/>
        </w:rPr>
      </w:pPr>
      <w:r>
        <w:rPr>
          <w:rFonts w:cstheme="minorHAnsi"/>
          <w:color w:val="141823"/>
          <w:szCs w:val="24"/>
        </w:rPr>
        <w:t>And reddens in the water of the moat;</w:t>
      </w:r>
    </w:p>
    <w:p w14:paraId="29B3A353" w14:textId="77777777" w:rsidR="000C263E" w:rsidRDefault="000C263E" w:rsidP="000C263E">
      <w:pPr>
        <w:spacing w:after="0" w:line="360" w:lineRule="auto"/>
        <w:ind w:left="2160"/>
        <w:rPr>
          <w:rFonts w:cstheme="minorHAnsi"/>
          <w:color w:val="141823"/>
          <w:szCs w:val="24"/>
        </w:rPr>
      </w:pPr>
      <w:r>
        <w:rPr>
          <w:rFonts w:cstheme="minorHAnsi"/>
          <w:color w:val="141823"/>
          <w:szCs w:val="24"/>
        </w:rPr>
        <w:t xml:space="preserve">As red within the water burns the scythe </w:t>
      </w:r>
    </w:p>
    <w:p w14:paraId="6B8D6232" w14:textId="77777777" w:rsidR="000C263E" w:rsidRDefault="000C263E" w:rsidP="000C263E">
      <w:pPr>
        <w:spacing w:after="0" w:line="360" w:lineRule="auto"/>
        <w:ind w:left="2160"/>
        <w:rPr>
          <w:rFonts w:cstheme="minorHAnsi"/>
          <w:color w:val="141823"/>
          <w:szCs w:val="24"/>
        </w:rPr>
      </w:pPr>
      <w:r>
        <w:rPr>
          <w:rFonts w:cstheme="minorHAnsi"/>
          <w:color w:val="141823"/>
          <w:szCs w:val="24"/>
        </w:rPr>
        <w:t>And the moon dwindled to her gibbous tithe</w:t>
      </w:r>
    </w:p>
    <w:p w14:paraId="29FCF71A" w14:textId="77777777" w:rsidR="000C263E" w:rsidRDefault="000C263E" w:rsidP="000C263E">
      <w:pPr>
        <w:spacing w:after="0" w:line="360" w:lineRule="auto"/>
        <w:ind w:left="2160"/>
        <w:rPr>
          <w:rFonts w:cstheme="minorHAnsi"/>
          <w:color w:val="141823"/>
          <w:szCs w:val="24"/>
        </w:rPr>
      </w:pPr>
      <w:r>
        <w:rPr>
          <w:rFonts w:cstheme="minorHAnsi"/>
          <w:color w:val="141823"/>
          <w:szCs w:val="24"/>
        </w:rPr>
        <w:tab/>
        <w:t>Follows the sunken sun afloat.</w:t>
      </w:r>
    </w:p>
    <w:p w14:paraId="68A05950" w14:textId="77777777" w:rsidR="000C263E" w:rsidRDefault="000C263E" w:rsidP="000C263E">
      <w:pPr>
        <w:spacing w:after="0" w:line="360" w:lineRule="auto"/>
        <w:ind w:left="2160"/>
        <w:rPr>
          <w:rFonts w:cstheme="minorHAnsi"/>
          <w:color w:val="141823"/>
          <w:szCs w:val="24"/>
        </w:rPr>
      </w:pPr>
    </w:p>
    <w:p w14:paraId="6A8F4D18" w14:textId="77777777" w:rsidR="000C263E" w:rsidRDefault="000C263E" w:rsidP="000C263E">
      <w:pPr>
        <w:spacing w:after="0" w:line="360" w:lineRule="auto"/>
        <w:ind w:left="2160"/>
        <w:rPr>
          <w:rFonts w:cstheme="minorHAnsi"/>
          <w:color w:val="141823"/>
          <w:szCs w:val="24"/>
        </w:rPr>
      </w:pPr>
      <w:r>
        <w:rPr>
          <w:rFonts w:cstheme="minorHAnsi"/>
          <w:color w:val="141823"/>
          <w:szCs w:val="24"/>
        </w:rPr>
        <w:t>‘</w:t>
      </w:r>
      <w:proofErr w:type="spellStart"/>
      <w:r>
        <w:rPr>
          <w:rFonts w:cstheme="minorHAnsi"/>
          <w:color w:val="141823"/>
          <w:szCs w:val="24"/>
        </w:rPr>
        <w:t>Sissinghurst</w:t>
      </w:r>
      <w:proofErr w:type="spellEnd"/>
      <w:r>
        <w:rPr>
          <w:rFonts w:cstheme="minorHAnsi"/>
          <w:color w:val="141823"/>
          <w:szCs w:val="24"/>
        </w:rPr>
        <w:t>’, 1930.</w:t>
      </w:r>
    </w:p>
    <w:p w14:paraId="1146F821" w14:textId="7DB958EF" w:rsidR="00DF7171" w:rsidRDefault="00DF7171" w:rsidP="000C263E">
      <w:pPr>
        <w:spacing w:line="360" w:lineRule="auto"/>
        <w:rPr>
          <w:rFonts w:cstheme="minorHAnsi"/>
          <w:color w:val="141823"/>
          <w:szCs w:val="24"/>
        </w:rPr>
      </w:pPr>
    </w:p>
    <w:p w14:paraId="4A95C7C1" w14:textId="77777777" w:rsidR="000C263E" w:rsidRDefault="000C263E" w:rsidP="000C263E">
      <w:pPr>
        <w:spacing w:line="360" w:lineRule="auto"/>
        <w:rPr>
          <w:rFonts w:cstheme="minorHAnsi"/>
          <w:color w:val="141823"/>
          <w:szCs w:val="24"/>
        </w:rPr>
      </w:pPr>
    </w:p>
    <w:p w14:paraId="09D907AB" w14:textId="321C4393" w:rsidR="00E4266B" w:rsidRDefault="0041601E" w:rsidP="000C263E">
      <w:pPr>
        <w:spacing w:line="360" w:lineRule="auto"/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Sackville-West is perhaps best known today as a gardener, for her unconventional marriage, and as the inspiration for </w:t>
      </w:r>
      <w:r w:rsidR="004747D2">
        <w:rPr>
          <w:rFonts w:cstheme="minorHAnsi"/>
          <w:szCs w:val="24"/>
        </w:rPr>
        <w:t xml:space="preserve">Orlando, </w:t>
      </w:r>
      <w:r>
        <w:rPr>
          <w:rFonts w:cstheme="minorHAnsi"/>
          <w:szCs w:val="24"/>
        </w:rPr>
        <w:t xml:space="preserve">Virginia Woolf’s </w:t>
      </w:r>
      <w:r w:rsidR="004747D2">
        <w:rPr>
          <w:rFonts w:cstheme="minorHAnsi"/>
          <w:szCs w:val="24"/>
        </w:rPr>
        <w:t xml:space="preserve">time travelling, </w:t>
      </w:r>
      <w:r>
        <w:rPr>
          <w:rFonts w:cstheme="minorHAnsi"/>
          <w:szCs w:val="24"/>
        </w:rPr>
        <w:t>gender fluid</w:t>
      </w:r>
      <w:r w:rsidR="004747D2">
        <w:rPr>
          <w:rFonts w:cstheme="minorHAnsi"/>
          <w:szCs w:val="24"/>
        </w:rPr>
        <w:t>,</w:t>
      </w:r>
      <w:r>
        <w:rPr>
          <w:rFonts w:cstheme="minorHAnsi"/>
          <w:szCs w:val="24"/>
        </w:rPr>
        <w:t xml:space="preserve"> </w:t>
      </w:r>
      <w:r w:rsidR="004747D2">
        <w:rPr>
          <w:rFonts w:cstheme="minorHAnsi"/>
          <w:szCs w:val="24"/>
        </w:rPr>
        <w:t xml:space="preserve">eponymous </w:t>
      </w:r>
      <w:r>
        <w:rPr>
          <w:rFonts w:cstheme="minorHAnsi"/>
          <w:szCs w:val="24"/>
        </w:rPr>
        <w:t>character</w:t>
      </w:r>
      <w:r w:rsidR="004747D2">
        <w:rPr>
          <w:rFonts w:cstheme="minorHAnsi"/>
          <w:szCs w:val="24"/>
        </w:rPr>
        <w:t>.</w:t>
      </w:r>
      <w:r>
        <w:rPr>
          <w:rFonts w:cstheme="minorHAnsi"/>
          <w:szCs w:val="24"/>
        </w:rPr>
        <w:t xml:space="preserve"> She was though a prolific and versatile writer herself</w:t>
      </w:r>
      <w:r w:rsidR="007A56C4">
        <w:rPr>
          <w:rFonts w:cstheme="minorHAnsi"/>
          <w:szCs w:val="24"/>
        </w:rPr>
        <w:t xml:space="preserve"> - </w:t>
      </w:r>
      <w:r w:rsidR="00F24E48">
        <w:rPr>
          <w:rFonts w:cstheme="minorHAnsi"/>
          <w:szCs w:val="24"/>
        </w:rPr>
        <w:t xml:space="preserve">a </w:t>
      </w:r>
      <w:r w:rsidR="00B766A1">
        <w:rPr>
          <w:rFonts w:cstheme="minorHAnsi"/>
          <w:szCs w:val="24"/>
        </w:rPr>
        <w:t xml:space="preserve">celebrated poet (a </w:t>
      </w:r>
      <w:r w:rsidR="00F24E48">
        <w:rPr>
          <w:rFonts w:cstheme="minorHAnsi"/>
          <w:szCs w:val="24"/>
        </w:rPr>
        <w:t>candidate for the post of Poet Laureate in 1948</w:t>
      </w:r>
      <w:r w:rsidR="00B766A1">
        <w:rPr>
          <w:rFonts w:cstheme="minorHAnsi"/>
          <w:szCs w:val="24"/>
        </w:rPr>
        <w:t>) and author of</w:t>
      </w:r>
      <w:r>
        <w:rPr>
          <w:rFonts w:cstheme="minorHAnsi"/>
          <w:szCs w:val="24"/>
        </w:rPr>
        <w:t xml:space="preserve"> fourteen novels</w:t>
      </w:r>
      <w:r w:rsidR="00EF7B29">
        <w:rPr>
          <w:rFonts w:cstheme="minorHAnsi"/>
          <w:szCs w:val="24"/>
        </w:rPr>
        <w:t>, with those published in the 1930s proving both critically and commercially successful.</w:t>
      </w:r>
      <w:r w:rsidR="00035726">
        <w:rPr>
          <w:rFonts w:cstheme="minorHAnsi"/>
          <w:szCs w:val="24"/>
        </w:rPr>
        <w:t xml:space="preserve"> </w:t>
      </w:r>
      <w:r w:rsidR="00C85ADA">
        <w:rPr>
          <w:rFonts w:cstheme="minorHAnsi"/>
          <w:szCs w:val="24"/>
        </w:rPr>
        <w:t>Her poetry was unapologetically traditional in form, and her fiction too was largely traditional but with</w:t>
      </w:r>
      <w:r w:rsidR="000204B8">
        <w:rPr>
          <w:rFonts w:cstheme="minorHAnsi"/>
          <w:szCs w:val="24"/>
        </w:rPr>
        <w:t xml:space="preserve"> a distinctly poetic style</w:t>
      </w:r>
      <w:r w:rsidR="00C85ADA">
        <w:rPr>
          <w:rFonts w:cstheme="minorHAnsi"/>
          <w:szCs w:val="24"/>
        </w:rPr>
        <w:t>.</w:t>
      </w:r>
    </w:p>
    <w:p w14:paraId="2D983096" w14:textId="27C7327E" w:rsidR="00EF7B29" w:rsidRPr="00AF4D06" w:rsidRDefault="00EF7B29" w:rsidP="000C263E">
      <w:pPr>
        <w:spacing w:line="360" w:lineRule="auto"/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She was the only child of Lord and Lady Sackville-West, born at the family’s ancestral home, Knole in Sevenoaks. </w:t>
      </w:r>
      <w:r w:rsidR="00035726">
        <w:rPr>
          <w:rFonts w:cstheme="minorHAnsi"/>
          <w:szCs w:val="24"/>
        </w:rPr>
        <w:t xml:space="preserve">She had a fairly solitary childhood at Knole, and it was here that she developed her deep love of the </w:t>
      </w:r>
      <w:r w:rsidR="00AF4D06">
        <w:rPr>
          <w:rFonts w:cstheme="minorHAnsi"/>
          <w:szCs w:val="24"/>
        </w:rPr>
        <w:t xml:space="preserve">Kent </w:t>
      </w:r>
      <w:r w:rsidR="00035726">
        <w:rPr>
          <w:rFonts w:cstheme="minorHAnsi"/>
          <w:szCs w:val="24"/>
        </w:rPr>
        <w:t xml:space="preserve">countryside, both for its natural beauty and the traditions it inspired. </w:t>
      </w:r>
      <w:r w:rsidR="00E4266B">
        <w:rPr>
          <w:rFonts w:cstheme="minorHAnsi"/>
          <w:szCs w:val="24"/>
        </w:rPr>
        <w:t>A</w:t>
      </w:r>
      <w:r>
        <w:rPr>
          <w:rFonts w:cstheme="minorHAnsi"/>
          <w:szCs w:val="24"/>
        </w:rPr>
        <w:t>s a female she was not able to inherit Knole</w:t>
      </w:r>
      <w:r w:rsidR="00E4266B">
        <w:rPr>
          <w:rFonts w:cstheme="minorHAnsi"/>
          <w:szCs w:val="24"/>
        </w:rPr>
        <w:t>, and s</w:t>
      </w:r>
      <w:r>
        <w:rPr>
          <w:rFonts w:cstheme="minorHAnsi"/>
          <w:szCs w:val="24"/>
        </w:rPr>
        <w:t xml:space="preserve">he considered this the great tragedy of her life, writing thirty years later that </w:t>
      </w:r>
      <w:r w:rsidRPr="000C56D4">
        <w:rPr>
          <w:rFonts w:cstheme="minorHAnsi"/>
          <w:szCs w:val="24"/>
        </w:rPr>
        <w:t>“Knole should have been mine, mine, mine. We were meant for each other”</w:t>
      </w:r>
      <w:r w:rsidR="000C263E" w:rsidRPr="000C263E">
        <w:rPr>
          <w:rStyle w:val="FootnoteReference"/>
          <w:rFonts w:cstheme="minorHAnsi"/>
          <w:szCs w:val="24"/>
        </w:rPr>
        <w:t xml:space="preserve"> </w:t>
      </w:r>
      <w:r w:rsidR="000C263E">
        <w:rPr>
          <w:rStyle w:val="FootnoteReference"/>
          <w:rFonts w:cstheme="minorHAnsi"/>
          <w:szCs w:val="24"/>
        </w:rPr>
        <w:footnoteReference w:id="1"/>
      </w:r>
      <w:r>
        <w:rPr>
          <w:rFonts w:cstheme="minorHAnsi"/>
          <w:szCs w:val="24"/>
        </w:rPr>
        <w:t xml:space="preserve">. </w:t>
      </w:r>
      <w:r w:rsidR="00E4266B">
        <w:rPr>
          <w:rFonts w:cstheme="minorHAnsi"/>
          <w:szCs w:val="24"/>
        </w:rPr>
        <w:t xml:space="preserve">Her prize-winning poem </w:t>
      </w:r>
      <w:r w:rsidR="00E4266B" w:rsidRPr="00E4266B">
        <w:rPr>
          <w:rFonts w:cstheme="minorHAnsi"/>
          <w:i/>
          <w:iCs/>
          <w:szCs w:val="24"/>
        </w:rPr>
        <w:t>The Land</w:t>
      </w:r>
      <w:r w:rsidR="00E4266B">
        <w:rPr>
          <w:rFonts w:cstheme="minorHAnsi"/>
          <w:szCs w:val="24"/>
        </w:rPr>
        <w:t xml:space="preserve"> (seen as a riposte to </w:t>
      </w:r>
      <w:r w:rsidR="000C263E">
        <w:rPr>
          <w:rFonts w:cstheme="minorHAnsi"/>
          <w:szCs w:val="24"/>
        </w:rPr>
        <w:t xml:space="preserve">[T S </w:t>
      </w:r>
      <w:proofErr w:type="gramStart"/>
      <w:r w:rsidR="000C263E">
        <w:rPr>
          <w:rFonts w:cstheme="minorHAnsi"/>
          <w:szCs w:val="24"/>
        </w:rPr>
        <w:t>Eliot](</w:t>
      </w:r>
      <w:proofErr w:type="gramEnd"/>
      <w:r w:rsidR="000C263E" w:rsidRPr="008D30D8">
        <w:t xml:space="preserve"> </w:t>
      </w:r>
      <w:r w:rsidR="000C263E" w:rsidRPr="008D30D8">
        <w:rPr>
          <w:rFonts w:cstheme="minorHAnsi"/>
          <w:szCs w:val="24"/>
        </w:rPr>
        <w:t>20c/20c-eliot-biography</w:t>
      </w:r>
      <w:r w:rsidR="000C263E">
        <w:rPr>
          <w:rFonts w:cstheme="minorHAnsi"/>
          <w:szCs w:val="24"/>
        </w:rPr>
        <w:t>)’s _</w:t>
      </w:r>
      <w:r w:rsidR="00E4266B" w:rsidRPr="00E4266B">
        <w:rPr>
          <w:rFonts w:cstheme="minorHAnsi"/>
          <w:i/>
          <w:iCs/>
          <w:szCs w:val="24"/>
        </w:rPr>
        <w:t>The Wasteland</w:t>
      </w:r>
      <w:r w:rsidR="000C263E">
        <w:rPr>
          <w:rFonts w:cstheme="minorHAnsi"/>
          <w:i/>
          <w:iCs/>
          <w:szCs w:val="24"/>
        </w:rPr>
        <w:t>_</w:t>
      </w:r>
      <w:r w:rsidR="00E4266B">
        <w:rPr>
          <w:rFonts w:cstheme="minorHAnsi"/>
          <w:szCs w:val="24"/>
        </w:rPr>
        <w:t xml:space="preserve">) </w:t>
      </w:r>
      <w:r w:rsidR="00F24E48">
        <w:rPr>
          <w:rFonts w:cstheme="minorHAnsi"/>
          <w:szCs w:val="24"/>
        </w:rPr>
        <w:t xml:space="preserve">is an homage to Knole, </w:t>
      </w:r>
      <w:r w:rsidR="000204B8">
        <w:rPr>
          <w:rFonts w:cstheme="minorHAnsi"/>
          <w:szCs w:val="24"/>
        </w:rPr>
        <w:t xml:space="preserve">which </w:t>
      </w:r>
      <w:r w:rsidR="00F24E48">
        <w:rPr>
          <w:rFonts w:cstheme="minorHAnsi"/>
          <w:szCs w:val="24"/>
        </w:rPr>
        <w:t>provide</w:t>
      </w:r>
      <w:r w:rsidR="000204B8">
        <w:rPr>
          <w:rFonts w:cstheme="minorHAnsi"/>
          <w:szCs w:val="24"/>
        </w:rPr>
        <w:t>s</w:t>
      </w:r>
      <w:r w:rsidR="00F24E48">
        <w:rPr>
          <w:rFonts w:cstheme="minorHAnsi"/>
          <w:szCs w:val="24"/>
        </w:rPr>
        <w:t xml:space="preserve"> the background to </w:t>
      </w:r>
      <w:r w:rsidR="006725A9">
        <w:rPr>
          <w:rFonts w:cstheme="minorHAnsi"/>
          <w:szCs w:val="24"/>
        </w:rPr>
        <w:t xml:space="preserve">her most successful novel </w:t>
      </w:r>
      <w:r w:rsidR="00F24E48" w:rsidRPr="00F24E48">
        <w:rPr>
          <w:rFonts w:cstheme="minorHAnsi"/>
          <w:i/>
          <w:iCs/>
          <w:szCs w:val="24"/>
        </w:rPr>
        <w:t>The Edwardians</w:t>
      </w:r>
      <w:r w:rsidR="006725A9">
        <w:rPr>
          <w:rFonts w:cstheme="minorHAnsi"/>
          <w:i/>
          <w:iCs/>
          <w:szCs w:val="24"/>
        </w:rPr>
        <w:t>.</w:t>
      </w:r>
      <w:r w:rsidR="00060A81" w:rsidRPr="00060A81">
        <w:rPr>
          <w:rFonts w:cstheme="minorHAnsi"/>
          <w:szCs w:val="24"/>
        </w:rPr>
        <w:t xml:space="preserve"> </w:t>
      </w:r>
      <w:r w:rsidR="00060A81">
        <w:rPr>
          <w:rFonts w:cstheme="minorHAnsi"/>
          <w:szCs w:val="24"/>
        </w:rPr>
        <w:t>Sackville-West’s passion for both the natural and built environment permeated her writing from the start, with an early novel (</w:t>
      </w:r>
      <w:r w:rsidR="000C263E">
        <w:rPr>
          <w:rFonts w:cstheme="minorHAnsi"/>
          <w:szCs w:val="24"/>
        </w:rPr>
        <w:t>_</w:t>
      </w:r>
      <w:r w:rsidR="00060A81" w:rsidRPr="00060A81">
        <w:rPr>
          <w:rFonts w:cstheme="minorHAnsi"/>
          <w:i/>
          <w:iCs/>
          <w:szCs w:val="24"/>
        </w:rPr>
        <w:t>The Heir</w:t>
      </w:r>
      <w:r w:rsidR="000C263E">
        <w:rPr>
          <w:rFonts w:cstheme="minorHAnsi"/>
          <w:i/>
          <w:iCs/>
          <w:szCs w:val="24"/>
        </w:rPr>
        <w:t>_</w:t>
      </w:r>
      <w:r w:rsidR="00060A81">
        <w:rPr>
          <w:rFonts w:cstheme="minorHAnsi"/>
          <w:szCs w:val="24"/>
        </w:rPr>
        <w:t xml:space="preserve">) being inspired by a visit to </w:t>
      </w:r>
      <w:proofErr w:type="spellStart"/>
      <w:r w:rsidR="00060A81">
        <w:rPr>
          <w:rFonts w:cstheme="minorHAnsi"/>
          <w:szCs w:val="24"/>
        </w:rPr>
        <w:t>Groombridge</w:t>
      </w:r>
      <w:proofErr w:type="spellEnd"/>
      <w:r w:rsidR="00060A81">
        <w:rPr>
          <w:rFonts w:cstheme="minorHAnsi"/>
          <w:szCs w:val="24"/>
        </w:rPr>
        <w:t xml:space="preserve"> </w:t>
      </w:r>
      <w:r w:rsidR="00060A81">
        <w:rPr>
          <w:rFonts w:cstheme="minorHAnsi"/>
          <w:szCs w:val="24"/>
        </w:rPr>
        <w:lastRenderedPageBreak/>
        <w:t xml:space="preserve">Place, used as the </w:t>
      </w:r>
      <w:proofErr w:type="spellStart"/>
      <w:r w:rsidR="00060A81">
        <w:rPr>
          <w:rFonts w:cstheme="minorHAnsi"/>
          <w:szCs w:val="24"/>
        </w:rPr>
        <w:t>Bennets</w:t>
      </w:r>
      <w:proofErr w:type="spellEnd"/>
      <w:r w:rsidR="00060A81">
        <w:rPr>
          <w:rFonts w:cstheme="minorHAnsi"/>
          <w:szCs w:val="24"/>
        </w:rPr>
        <w:t xml:space="preserve">’ home in the 2005 film of </w:t>
      </w:r>
      <w:r w:rsidR="000C263E">
        <w:rPr>
          <w:rFonts w:cstheme="minorHAnsi"/>
          <w:szCs w:val="24"/>
        </w:rPr>
        <w:t>[</w:t>
      </w:r>
      <w:r w:rsidR="00060A81">
        <w:rPr>
          <w:rFonts w:cstheme="minorHAnsi"/>
          <w:szCs w:val="24"/>
        </w:rPr>
        <w:t xml:space="preserve">Jane </w:t>
      </w:r>
      <w:proofErr w:type="gramStart"/>
      <w:r w:rsidR="00060A81">
        <w:rPr>
          <w:rFonts w:cstheme="minorHAnsi"/>
          <w:szCs w:val="24"/>
        </w:rPr>
        <w:t>Austen</w:t>
      </w:r>
      <w:r w:rsidR="000C263E">
        <w:rPr>
          <w:rFonts w:cstheme="minorHAnsi"/>
          <w:szCs w:val="24"/>
        </w:rPr>
        <w:t>](</w:t>
      </w:r>
      <w:proofErr w:type="gramEnd"/>
      <w:r w:rsidR="000C263E" w:rsidRPr="000C263E">
        <w:t xml:space="preserve"> </w:t>
      </w:r>
      <w:r w:rsidR="000C263E" w:rsidRPr="000C263E">
        <w:rPr>
          <w:rFonts w:cstheme="minorHAnsi"/>
          <w:szCs w:val="24"/>
        </w:rPr>
        <w:t>19c/19c-austen-biography</w:t>
      </w:r>
      <w:r w:rsidR="000C263E">
        <w:rPr>
          <w:rFonts w:cstheme="minorHAnsi"/>
          <w:szCs w:val="24"/>
        </w:rPr>
        <w:t>)</w:t>
      </w:r>
      <w:r w:rsidR="00060A81">
        <w:rPr>
          <w:rFonts w:cstheme="minorHAnsi"/>
          <w:szCs w:val="24"/>
        </w:rPr>
        <w:t xml:space="preserve">’s </w:t>
      </w:r>
      <w:r w:rsidR="000C263E">
        <w:rPr>
          <w:rFonts w:cstheme="minorHAnsi"/>
          <w:szCs w:val="24"/>
        </w:rPr>
        <w:t>_</w:t>
      </w:r>
      <w:r w:rsidR="00060A81" w:rsidRPr="00060A81">
        <w:rPr>
          <w:rFonts w:cstheme="minorHAnsi"/>
          <w:i/>
          <w:iCs/>
          <w:szCs w:val="24"/>
        </w:rPr>
        <w:t>Pride and Prejudice</w:t>
      </w:r>
      <w:r w:rsidR="000C263E">
        <w:rPr>
          <w:rFonts w:cstheme="minorHAnsi"/>
          <w:i/>
          <w:iCs/>
          <w:szCs w:val="24"/>
        </w:rPr>
        <w:t>_</w:t>
      </w:r>
      <w:r w:rsidR="00060A81">
        <w:rPr>
          <w:rFonts w:cstheme="minorHAnsi"/>
          <w:szCs w:val="24"/>
        </w:rPr>
        <w:t xml:space="preserve">. </w:t>
      </w:r>
    </w:p>
    <w:p w14:paraId="4CE9DDBD" w14:textId="0F1D0AD5" w:rsidR="004D435D" w:rsidRDefault="00F24E48" w:rsidP="000C263E">
      <w:pPr>
        <w:spacing w:line="360" w:lineRule="auto"/>
        <w:rPr>
          <w:rFonts w:cstheme="minorHAnsi"/>
          <w:szCs w:val="24"/>
        </w:rPr>
      </w:pPr>
      <w:r>
        <w:rPr>
          <w:rFonts w:cstheme="minorHAnsi"/>
          <w:szCs w:val="24"/>
        </w:rPr>
        <w:t>She married Harold Nicolson</w:t>
      </w:r>
      <w:r w:rsidR="00AF4D06">
        <w:rPr>
          <w:rFonts w:cstheme="minorHAnsi"/>
          <w:szCs w:val="24"/>
        </w:rPr>
        <w:t xml:space="preserve"> </w:t>
      </w:r>
      <w:r>
        <w:rPr>
          <w:rFonts w:cstheme="minorHAnsi"/>
          <w:szCs w:val="24"/>
        </w:rPr>
        <w:t>in 1913</w:t>
      </w:r>
      <w:r w:rsidR="004D435D">
        <w:rPr>
          <w:rFonts w:cstheme="minorHAnsi"/>
          <w:szCs w:val="24"/>
        </w:rPr>
        <w:t>,</w:t>
      </w:r>
      <w:r>
        <w:rPr>
          <w:rFonts w:cstheme="minorHAnsi"/>
          <w:szCs w:val="24"/>
        </w:rPr>
        <w:t xml:space="preserve"> </w:t>
      </w:r>
      <w:r w:rsidR="004D435D">
        <w:rPr>
          <w:rFonts w:cstheme="minorHAnsi"/>
          <w:szCs w:val="24"/>
        </w:rPr>
        <w:t xml:space="preserve">when he was </w:t>
      </w:r>
      <w:r w:rsidR="00AF4D06">
        <w:rPr>
          <w:rFonts w:cstheme="minorHAnsi"/>
          <w:szCs w:val="24"/>
        </w:rPr>
        <w:t>a junior diplomat</w:t>
      </w:r>
      <w:r w:rsidR="006725A9">
        <w:rPr>
          <w:rFonts w:cstheme="minorHAnsi"/>
          <w:szCs w:val="24"/>
        </w:rPr>
        <w:t>. T</w:t>
      </w:r>
      <w:r>
        <w:rPr>
          <w:rFonts w:cstheme="minorHAnsi"/>
          <w:szCs w:val="24"/>
        </w:rPr>
        <w:t>he</w:t>
      </w:r>
      <w:r w:rsidR="00AF4D06">
        <w:rPr>
          <w:rFonts w:cstheme="minorHAnsi"/>
          <w:szCs w:val="24"/>
        </w:rPr>
        <w:t>y</w:t>
      </w:r>
      <w:r>
        <w:rPr>
          <w:rFonts w:cstheme="minorHAnsi"/>
          <w:szCs w:val="24"/>
        </w:rPr>
        <w:t xml:space="preserve"> lived first </w:t>
      </w:r>
      <w:r w:rsidR="007A56C4">
        <w:rPr>
          <w:rFonts w:cstheme="minorHAnsi"/>
          <w:szCs w:val="24"/>
        </w:rPr>
        <w:t>in Constantinople</w:t>
      </w:r>
      <w:r w:rsidR="00B766A1">
        <w:rPr>
          <w:rFonts w:cstheme="minorHAnsi"/>
          <w:szCs w:val="24"/>
        </w:rPr>
        <w:t xml:space="preserve">, </w:t>
      </w:r>
      <w:r w:rsidR="006725A9">
        <w:rPr>
          <w:rFonts w:cstheme="minorHAnsi"/>
          <w:szCs w:val="24"/>
        </w:rPr>
        <w:t>then moved</w:t>
      </w:r>
      <w:r w:rsidR="00B766A1">
        <w:rPr>
          <w:rFonts w:cstheme="minorHAnsi"/>
          <w:szCs w:val="24"/>
        </w:rPr>
        <w:t xml:space="preserve"> </w:t>
      </w:r>
      <w:r w:rsidR="004D435D">
        <w:rPr>
          <w:rFonts w:cstheme="minorHAnsi"/>
          <w:szCs w:val="24"/>
        </w:rPr>
        <w:t>b</w:t>
      </w:r>
      <w:r w:rsidR="007A56C4">
        <w:rPr>
          <w:rFonts w:cstheme="minorHAnsi"/>
          <w:szCs w:val="24"/>
        </w:rPr>
        <w:t>ack to England in 1914</w:t>
      </w:r>
      <w:r w:rsidR="006725A9">
        <w:rPr>
          <w:rFonts w:cstheme="minorHAnsi"/>
          <w:szCs w:val="24"/>
        </w:rPr>
        <w:t>, buying</w:t>
      </w:r>
      <w:r w:rsidR="00B766A1">
        <w:rPr>
          <w:rFonts w:cstheme="minorHAnsi"/>
          <w:szCs w:val="24"/>
        </w:rPr>
        <w:t xml:space="preserve"> </w:t>
      </w:r>
      <w:r w:rsidR="007A56C4">
        <w:rPr>
          <w:rFonts w:cstheme="minorHAnsi"/>
          <w:szCs w:val="24"/>
        </w:rPr>
        <w:t>Long Barn</w:t>
      </w:r>
      <w:r w:rsidR="004747D2">
        <w:rPr>
          <w:rFonts w:cstheme="minorHAnsi"/>
          <w:szCs w:val="24"/>
        </w:rPr>
        <w:t>, a house near</w:t>
      </w:r>
      <w:r w:rsidR="007A56C4">
        <w:rPr>
          <w:rFonts w:cstheme="minorHAnsi"/>
          <w:szCs w:val="24"/>
        </w:rPr>
        <w:t xml:space="preserve"> Knole, where they </w:t>
      </w:r>
      <w:r w:rsidR="004D435D">
        <w:rPr>
          <w:rFonts w:cstheme="minorHAnsi"/>
          <w:szCs w:val="24"/>
        </w:rPr>
        <w:t>established their first English garden</w:t>
      </w:r>
      <w:r w:rsidR="006725A9">
        <w:rPr>
          <w:rFonts w:cstheme="minorHAnsi"/>
          <w:szCs w:val="24"/>
        </w:rPr>
        <w:t>. T</w:t>
      </w:r>
      <w:r w:rsidR="007A56C4">
        <w:rPr>
          <w:rFonts w:cstheme="minorHAnsi"/>
          <w:szCs w:val="24"/>
        </w:rPr>
        <w:t>hey moved again in 1930</w:t>
      </w:r>
      <w:r w:rsidR="00AF4D06">
        <w:rPr>
          <w:rFonts w:cstheme="minorHAnsi"/>
          <w:szCs w:val="24"/>
        </w:rPr>
        <w:t xml:space="preserve">, buying </w:t>
      </w:r>
      <w:r w:rsidR="007A56C4">
        <w:rPr>
          <w:rFonts w:cstheme="minorHAnsi"/>
          <w:szCs w:val="24"/>
        </w:rPr>
        <w:t>Sissinghurst</w:t>
      </w:r>
      <w:r w:rsidR="00AF4D06">
        <w:rPr>
          <w:rFonts w:cstheme="minorHAnsi"/>
          <w:szCs w:val="24"/>
        </w:rPr>
        <w:t xml:space="preserve"> Castle for £12,375</w:t>
      </w:r>
      <w:r w:rsidR="006725A9">
        <w:rPr>
          <w:rFonts w:cstheme="minorHAnsi"/>
          <w:szCs w:val="24"/>
        </w:rPr>
        <w:t xml:space="preserve">, where </w:t>
      </w:r>
      <w:r w:rsidR="007A56C4">
        <w:rPr>
          <w:rFonts w:cstheme="minorHAnsi"/>
          <w:szCs w:val="24"/>
        </w:rPr>
        <w:t xml:space="preserve">they created </w:t>
      </w:r>
      <w:r w:rsidR="00B766A1">
        <w:rPr>
          <w:rFonts w:cstheme="minorHAnsi"/>
          <w:szCs w:val="24"/>
        </w:rPr>
        <w:t>a</w:t>
      </w:r>
      <w:r w:rsidR="007A56C4">
        <w:rPr>
          <w:rFonts w:cstheme="minorHAnsi"/>
          <w:szCs w:val="24"/>
        </w:rPr>
        <w:t xml:space="preserve"> family home and the now </w:t>
      </w:r>
      <w:r w:rsidR="00AF4D06">
        <w:rPr>
          <w:rFonts w:cstheme="minorHAnsi"/>
          <w:szCs w:val="24"/>
        </w:rPr>
        <w:t>world-famous</w:t>
      </w:r>
      <w:r w:rsidR="007A56C4">
        <w:rPr>
          <w:rFonts w:cstheme="minorHAnsi"/>
          <w:szCs w:val="24"/>
        </w:rPr>
        <w:t xml:space="preserve"> garden among the ruins of a once magnificent Elizabethan manor house. </w:t>
      </w:r>
      <w:r w:rsidR="00AF4D06">
        <w:rPr>
          <w:rFonts w:cstheme="minorHAnsi"/>
          <w:szCs w:val="24"/>
        </w:rPr>
        <w:t xml:space="preserve">Sissinghurst is the subject of Sackville-West’s </w:t>
      </w:r>
      <w:r w:rsidR="000C263E">
        <w:rPr>
          <w:rFonts w:cstheme="minorHAnsi"/>
          <w:szCs w:val="24"/>
        </w:rPr>
        <w:t>poems ‘</w:t>
      </w:r>
      <w:proofErr w:type="spellStart"/>
      <w:r w:rsidR="000C263E">
        <w:rPr>
          <w:rFonts w:cstheme="minorHAnsi"/>
          <w:szCs w:val="24"/>
        </w:rPr>
        <w:t>Sissinghurst</w:t>
      </w:r>
      <w:proofErr w:type="spellEnd"/>
      <w:r w:rsidR="000C263E">
        <w:rPr>
          <w:rFonts w:cstheme="minorHAnsi"/>
          <w:szCs w:val="24"/>
        </w:rPr>
        <w:t>’ (1930) and</w:t>
      </w:r>
      <w:r w:rsidR="00AF4D06">
        <w:rPr>
          <w:rFonts w:cstheme="minorHAnsi"/>
          <w:szCs w:val="24"/>
        </w:rPr>
        <w:t xml:space="preserve"> </w:t>
      </w:r>
      <w:r w:rsidR="000C263E">
        <w:rPr>
          <w:rFonts w:cstheme="minorHAnsi"/>
          <w:szCs w:val="24"/>
        </w:rPr>
        <w:t>_</w:t>
      </w:r>
      <w:r w:rsidR="00AF4D06" w:rsidRPr="00AF4D06">
        <w:rPr>
          <w:rFonts w:cstheme="minorHAnsi"/>
          <w:i/>
          <w:iCs/>
          <w:szCs w:val="24"/>
        </w:rPr>
        <w:t>The Garden</w:t>
      </w:r>
      <w:r w:rsidR="000C263E">
        <w:rPr>
          <w:rFonts w:cstheme="minorHAnsi"/>
          <w:i/>
          <w:iCs/>
          <w:szCs w:val="24"/>
        </w:rPr>
        <w:t>_</w:t>
      </w:r>
      <w:r w:rsidR="00AF4D06">
        <w:rPr>
          <w:rFonts w:cstheme="minorHAnsi"/>
          <w:szCs w:val="24"/>
        </w:rPr>
        <w:t xml:space="preserve"> and is precisely described as background to her novel </w:t>
      </w:r>
      <w:r w:rsidR="000C263E">
        <w:rPr>
          <w:rFonts w:cstheme="minorHAnsi"/>
          <w:szCs w:val="24"/>
        </w:rPr>
        <w:t>_</w:t>
      </w:r>
      <w:r w:rsidR="00AF4D06" w:rsidRPr="00AF4D06">
        <w:rPr>
          <w:rFonts w:cstheme="minorHAnsi"/>
          <w:i/>
          <w:iCs/>
          <w:szCs w:val="24"/>
        </w:rPr>
        <w:t>Family History</w:t>
      </w:r>
      <w:r w:rsidR="000C263E">
        <w:rPr>
          <w:rFonts w:cstheme="minorHAnsi"/>
          <w:i/>
          <w:iCs/>
          <w:szCs w:val="24"/>
        </w:rPr>
        <w:t>_</w:t>
      </w:r>
      <w:r w:rsidR="00AF4D06">
        <w:rPr>
          <w:rFonts w:cstheme="minorHAnsi"/>
          <w:szCs w:val="24"/>
        </w:rPr>
        <w:t>.</w:t>
      </w:r>
      <w:r w:rsidR="004D435D" w:rsidRPr="004D435D">
        <w:rPr>
          <w:rFonts w:cstheme="minorHAnsi"/>
          <w:szCs w:val="24"/>
        </w:rPr>
        <w:t xml:space="preserve"> </w:t>
      </w:r>
    </w:p>
    <w:p w14:paraId="1A634477" w14:textId="77777777" w:rsidR="000C263E" w:rsidRPr="00F24E48" w:rsidRDefault="00C85ADA" w:rsidP="000C263E">
      <w:pPr>
        <w:spacing w:line="360" w:lineRule="auto"/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The </w:t>
      </w:r>
      <w:proofErr w:type="spellStart"/>
      <w:r>
        <w:rPr>
          <w:rFonts w:cstheme="minorHAnsi"/>
          <w:szCs w:val="24"/>
        </w:rPr>
        <w:t>Nicolsons</w:t>
      </w:r>
      <w:proofErr w:type="spellEnd"/>
      <w:r>
        <w:rPr>
          <w:rFonts w:cstheme="minorHAnsi"/>
          <w:szCs w:val="24"/>
        </w:rPr>
        <w:t xml:space="preserve"> had</w:t>
      </w:r>
      <w:r w:rsidR="004D435D">
        <w:rPr>
          <w:rFonts w:cstheme="minorHAnsi"/>
          <w:szCs w:val="24"/>
        </w:rPr>
        <w:t xml:space="preserve"> a famously open marriage, with both </w:t>
      </w:r>
      <w:r w:rsidR="004747D2">
        <w:rPr>
          <w:rFonts w:cstheme="minorHAnsi"/>
          <w:szCs w:val="24"/>
        </w:rPr>
        <w:t>enjoying</w:t>
      </w:r>
      <w:r w:rsidR="004D435D">
        <w:rPr>
          <w:rFonts w:cstheme="minorHAnsi"/>
          <w:szCs w:val="24"/>
        </w:rPr>
        <w:t xml:space="preserve"> many same sex relationships.</w:t>
      </w:r>
      <w:r>
        <w:rPr>
          <w:rFonts w:cstheme="minorHAnsi"/>
          <w:szCs w:val="24"/>
        </w:rPr>
        <w:t xml:space="preserve"> </w:t>
      </w:r>
      <w:r w:rsidR="004747D2">
        <w:rPr>
          <w:rFonts w:cstheme="minorHAnsi"/>
          <w:szCs w:val="24"/>
        </w:rPr>
        <w:t xml:space="preserve">As she grew older, Sackville-West increasingly withdrew from society but she continued to entertain </w:t>
      </w:r>
      <w:r>
        <w:rPr>
          <w:rFonts w:cstheme="minorHAnsi"/>
          <w:szCs w:val="24"/>
        </w:rPr>
        <w:t xml:space="preserve">lovers and other guests </w:t>
      </w:r>
      <w:r w:rsidR="004747D2">
        <w:rPr>
          <w:rFonts w:cstheme="minorHAnsi"/>
          <w:szCs w:val="24"/>
        </w:rPr>
        <w:t xml:space="preserve">at Sissinghurst, including </w:t>
      </w:r>
      <w:r w:rsidR="000C263E">
        <w:rPr>
          <w:rFonts w:cstheme="minorHAnsi"/>
          <w:szCs w:val="24"/>
        </w:rPr>
        <w:t xml:space="preserve">[Christopher St </w:t>
      </w:r>
      <w:proofErr w:type="gramStart"/>
      <w:r w:rsidR="000C263E">
        <w:rPr>
          <w:rFonts w:cstheme="minorHAnsi"/>
          <w:szCs w:val="24"/>
        </w:rPr>
        <w:t>John](</w:t>
      </w:r>
      <w:proofErr w:type="gramEnd"/>
      <w:r w:rsidR="000C263E" w:rsidRPr="008D30D8">
        <w:t xml:space="preserve"> </w:t>
      </w:r>
      <w:r w:rsidR="000C263E" w:rsidRPr="008D30D8">
        <w:rPr>
          <w:rFonts w:cstheme="minorHAnsi"/>
          <w:szCs w:val="24"/>
        </w:rPr>
        <w:t>20c/20c-st-john-biography</w:t>
      </w:r>
      <w:r w:rsidR="000C263E">
        <w:rPr>
          <w:rFonts w:cstheme="minorHAnsi"/>
          <w:szCs w:val="24"/>
        </w:rPr>
        <w:t>) (partner of [Ellen Terry](</w:t>
      </w:r>
      <w:r w:rsidR="000C263E" w:rsidRPr="008D30D8">
        <w:t xml:space="preserve"> </w:t>
      </w:r>
      <w:r w:rsidR="000C263E" w:rsidRPr="008D30D8">
        <w:rPr>
          <w:rFonts w:cstheme="minorHAnsi"/>
          <w:szCs w:val="24"/>
        </w:rPr>
        <w:t>20c/20c-terry-biography</w:t>
      </w:r>
      <w:r w:rsidR="000C263E">
        <w:rPr>
          <w:rFonts w:cstheme="minorHAnsi"/>
          <w:szCs w:val="24"/>
        </w:rPr>
        <w:t>)’s daughter [Edith Craig](</w:t>
      </w:r>
      <w:r w:rsidR="000C263E" w:rsidRPr="008D30D8">
        <w:rPr>
          <w:rFonts w:cstheme="minorHAnsi"/>
          <w:szCs w:val="24"/>
        </w:rPr>
        <w:t>20c/20c-craig-biography</w:t>
      </w:r>
      <w:r w:rsidR="000C263E">
        <w:rPr>
          <w:rFonts w:cstheme="minorHAnsi"/>
          <w:szCs w:val="24"/>
        </w:rPr>
        <w:t xml:space="preserve">) ).  </w:t>
      </w:r>
    </w:p>
    <w:p w14:paraId="3A315A9F" w14:textId="6D46391B" w:rsidR="00F24E48" w:rsidRPr="00F24E48" w:rsidRDefault="00F24E48" w:rsidP="000C263E">
      <w:pPr>
        <w:spacing w:line="360" w:lineRule="auto"/>
        <w:rPr>
          <w:rFonts w:cstheme="minorHAnsi"/>
          <w:szCs w:val="24"/>
        </w:rPr>
      </w:pPr>
    </w:p>
    <w:p w14:paraId="49B2EE83" w14:textId="5F6CE9F0" w:rsidR="00B71707" w:rsidRDefault="00B71707" w:rsidP="000C263E">
      <w:pPr>
        <w:spacing w:line="360" w:lineRule="auto"/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Sackville-West died at Sissinghurst in 1962 and her ashes are interred in the family crypt at </w:t>
      </w:r>
      <w:proofErr w:type="spellStart"/>
      <w:r>
        <w:rPr>
          <w:rFonts w:cstheme="minorHAnsi"/>
          <w:szCs w:val="24"/>
        </w:rPr>
        <w:t>Withyham</w:t>
      </w:r>
      <w:proofErr w:type="spellEnd"/>
      <w:r>
        <w:rPr>
          <w:rFonts w:cstheme="minorHAnsi"/>
          <w:szCs w:val="24"/>
        </w:rPr>
        <w:t xml:space="preserve">, Sussex. Her husband and two sons are buried at Trinity Church, overlooking the Sissinghurst estate. </w:t>
      </w:r>
    </w:p>
    <w:p w14:paraId="2042EDFB" w14:textId="5379F7BA" w:rsidR="006427F0" w:rsidRDefault="006427F0" w:rsidP="000C263E">
      <w:pPr>
        <w:spacing w:line="360" w:lineRule="auto"/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Both </w:t>
      </w:r>
      <w:r w:rsidR="00B71707">
        <w:rPr>
          <w:rFonts w:cstheme="minorHAnsi"/>
          <w:szCs w:val="24"/>
        </w:rPr>
        <w:t>Sissinghurst and Knole are now owned by the National Trust</w:t>
      </w:r>
      <w:r>
        <w:rPr>
          <w:rFonts w:cstheme="minorHAnsi"/>
          <w:szCs w:val="24"/>
        </w:rPr>
        <w:t>. (</w:t>
      </w:r>
      <w:hyperlink r:id="rId6" w:history="1">
        <w:r w:rsidRPr="00C6516D">
          <w:rPr>
            <w:rStyle w:val="Hyperlink"/>
            <w:rFonts w:cstheme="minorHAnsi"/>
            <w:szCs w:val="24"/>
          </w:rPr>
          <w:t>https://www.nationaltrust.org.uk/</w:t>
        </w:r>
      </w:hyperlink>
      <w:r>
        <w:rPr>
          <w:rFonts w:cstheme="minorHAnsi"/>
          <w:szCs w:val="24"/>
        </w:rPr>
        <w:t xml:space="preserve">) </w:t>
      </w:r>
    </w:p>
    <w:p w14:paraId="70577606" w14:textId="4B42D1E4" w:rsidR="00B71707" w:rsidRDefault="00B71707" w:rsidP="000C263E">
      <w:pPr>
        <w:spacing w:line="360" w:lineRule="auto"/>
        <w:rPr>
          <w:rFonts w:cstheme="minorHAnsi"/>
          <w:szCs w:val="24"/>
        </w:rPr>
      </w:pPr>
      <w:r>
        <w:rPr>
          <w:rFonts w:cstheme="minorHAnsi"/>
          <w:szCs w:val="24"/>
        </w:rPr>
        <w:t>Long Barn</w:t>
      </w:r>
      <w:r w:rsidR="006427F0">
        <w:rPr>
          <w:rFonts w:cstheme="minorHAnsi"/>
          <w:szCs w:val="24"/>
        </w:rPr>
        <w:t xml:space="preserve"> </w:t>
      </w:r>
      <w:r>
        <w:rPr>
          <w:rFonts w:cstheme="minorHAnsi"/>
          <w:szCs w:val="24"/>
        </w:rPr>
        <w:t>is privately owned but occasionally opened to the public for charity</w:t>
      </w:r>
      <w:r w:rsidR="006427F0">
        <w:rPr>
          <w:rFonts w:cstheme="minorHAnsi"/>
          <w:szCs w:val="24"/>
        </w:rPr>
        <w:t>. (</w:t>
      </w:r>
      <w:hyperlink r:id="rId7" w:history="1">
        <w:r w:rsidR="006427F0" w:rsidRPr="00C6516D">
          <w:rPr>
            <w:rStyle w:val="Hyperlink"/>
            <w:rFonts w:cstheme="minorHAnsi"/>
            <w:szCs w:val="24"/>
          </w:rPr>
          <w:t>https://en.wikipedia.org/wiki/Long_Barn</w:t>
        </w:r>
      </w:hyperlink>
      <w:r w:rsidR="006427F0">
        <w:rPr>
          <w:rFonts w:cstheme="minorHAnsi"/>
          <w:szCs w:val="24"/>
        </w:rPr>
        <w:t>)</w:t>
      </w:r>
    </w:p>
    <w:p w14:paraId="3055C87C" w14:textId="77777777" w:rsidR="008D7F70" w:rsidRDefault="006725A9" w:rsidP="000C263E">
      <w:pPr>
        <w:spacing w:line="360" w:lineRule="auto"/>
        <w:rPr>
          <w:rFonts w:cstheme="minorHAnsi"/>
          <w:szCs w:val="24"/>
        </w:rPr>
      </w:pPr>
      <w:proofErr w:type="spellStart"/>
      <w:r>
        <w:rPr>
          <w:rFonts w:cstheme="minorHAnsi"/>
          <w:szCs w:val="24"/>
        </w:rPr>
        <w:t>Groombridge</w:t>
      </w:r>
      <w:proofErr w:type="spellEnd"/>
      <w:r>
        <w:rPr>
          <w:rFonts w:cstheme="minorHAnsi"/>
          <w:szCs w:val="24"/>
        </w:rPr>
        <w:t xml:space="preserve"> Place </w:t>
      </w:r>
      <w:r w:rsidR="0084244F">
        <w:rPr>
          <w:rFonts w:cstheme="minorHAnsi"/>
          <w:szCs w:val="24"/>
        </w:rPr>
        <w:t>is open to the public as a commercial attraction.</w:t>
      </w:r>
      <w:r w:rsidR="008D7F70">
        <w:rPr>
          <w:rFonts w:cstheme="minorHAnsi"/>
          <w:szCs w:val="24"/>
        </w:rPr>
        <w:t xml:space="preserve"> </w:t>
      </w:r>
    </w:p>
    <w:p w14:paraId="2F279F1E" w14:textId="065CC748" w:rsidR="0084244F" w:rsidRDefault="008D7F70" w:rsidP="000C263E">
      <w:pPr>
        <w:spacing w:line="360" w:lineRule="auto"/>
        <w:rPr>
          <w:rFonts w:cstheme="minorHAnsi"/>
          <w:szCs w:val="24"/>
        </w:rPr>
      </w:pPr>
      <w:r>
        <w:rPr>
          <w:rFonts w:cstheme="minorHAnsi"/>
          <w:szCs w:val="24"/>
        </w:rPr>
        <w:t>(</w:t>
      </w:r>
      <w:hyperlink r:id="rId8" w:history="1">
        <w:r w:rsidRPr="00D6002D">
          <w:rPr>
            <w:rStyle w:val="Hyperlink"/>
            <w:rFonts w:cstheme="minorHAnsi"/>
            <w:szCs w:val="24"/>
          </w:rPr>
          <w:t>www.groombridgeplace.com</w:t>
        </w:r>
      </w:hyperlink>
      <w:r>
        <w:rPr>
          <w:rFonts w:cstheme="minorHAnsi"/>
          <w:szCs w:val="24"/>
        </w:rPr>
        <w:t>)</w:t>
      </w:r>
    </w:p>
    <w:p w14:paraId="7AB51518" w14:textId="5348283E" w:rsidR="006725A9" w:rsidRDefault="006725A9" w:rsidP="000C263E">
      <w:pPr>
        <w:spacing w:line="360" w:lineRule="auto"/>
        <w:rPr>
          <w:rFonts w:cstheme="minorHAnsi"/>
          <w:szCs w:val="24"/>
        </w:rPr>
      </w:pPr>
    </w:p>
    <w:p w14:paraId="123CC7CA" w14:textId="4E2262AD" w:rsidR="001F3DAF" w:rsidRDefault="001F3DAF" w:rsidP="000C263E">
      <w:pPr>
        <w:spacing w:line="360" w:lineRule="auto"/>
        <w:rPr>
          <w:rFonts w:cstheme="minorHAnsi"/>
          <w:szCs w:val="24"/>
        </w:rPr>
      </w:pPr>
      <w:r>
        <w:rPr>
          <w:rFonts w:cstheme="minorHAnsi"/>
          <w:szCs w:val="24"/>
        </w:rPr>
        <w:t>Article by Clare Nursey</w:t>
      </w:r>
    </w:p>
    <w:p w14:paraId="1983CF17" w14:textId="70AC5FA6" w:rsidR="000204B8" w:rsidRDefault="000204B8" w:rsidP="000C263E">
      <w:pPr>
        <w:spacing w:line="360" w:lineRule="auto"/>
        <w:rPr>
          <w:rFonts w:cstheme="minorHAnsi"/>
          <w:szCs w:val="24"/>
        </w:rPr>
      </w:pPr>
    </w:p>
    <w:p w14:paraId="1FDE4949" w14:textId="69CCA369" w:rsidR="000204B8" w:rsidRDefault="000204B8" w:rsidP="000C263E">
      <w:pPr>
        <w:spacing w:line="360" w:lineRule="auto"/>
        <w:rPr>
          <w:rFonts w:cstheme="minorHAnsi"/>
          <w:szCs w:val="24"/>
        </w:rPr>
      </w:pPr>
      <w:r>
        <w:rPr>
          <w:rFonts w:cstheme="minorHAnsi"/>
          <w:szCs w:val="24"/>
        </w:rPr>
        <w:t>Bibliography:</w:t>
      </w:r>
    </w:p>
    <w:p w14:paraId="5C7514D5" w14:textId="77777777" w:rsidR="000204B8" w:rsidRDefault="000204B8" w:rsidP="000C263E">
      <w:pPr>
        <w:spacing w:line="360" w:lineRule="auto"/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Nicolson, Nigel, ed. </w:t>
      </w:r>
      <w:r w:rsidRPr="00B95199">
        <w:rPr>
          <w:rFonts w:cstheme="minorHAnsi"/>
          <w:i/>
          <w:szCs w:val="24"/>
        </w:rPr>
        <w:t>Vita and Harold</w:t>
      </w:r>
      <w:r>
        <w:rPr>
          <w:rFonts w:cstheme="minorHAnsi"/>
          <w:szCs w:val="24"/>
        </w:rPr>
        <w:t xml:space="preserve">. </w:t>
      </w:r>
      <w:r w:rsidRPr="009006BE">
        <w:rPr>
          <w:rFonts w:cstheme="minorHAnsi"/>
          <w:i/>
          <w:szCs w:val="24"/>
        </w:rPr>
        <w:t>The Letters of Vita Sackville-West and Harold Nicolson.</w:t>
      </w:r>
      <w:r>
        <w:rPr>
          <w:rFonts w:cstheme="minorHAnsi"/>
          <w:szCs w:val="24"/>
        </w:rPr>
        <w:t xml:space="preserve"> </w:t>
      </w:r>
    </w:p>
    <w:p w14:paraId="12AD06D3" w14:textId="77777777" w:rsidR="000204B8" w:rsidRDefault="000204B8" w:rsidP="000C263E">
      <w:pPr>
        <w:spacing w:line="360" w:lineRule="auto"/>
        <w:rPr>
          <w:rFonts w:cstheme="minorHAnsi"/>
          <w:szCs w:val="24"/>
        </w:rPr>
      </w:pPr>
      <w:r>
        <w:rPr>
          <w:rFonts w:cstheme="minorHAnsi"/>
          <w:szCs w:val="24"/>
        </w:rPr>
        <w:lastRenderedPageBreak/>
        <w:tab/>
        <w:t xml:space="preserve">USA: G. P. Putnam’s Sons, 1992. Print. </w:t>
      </w:r>
    </w:p>
    <w:p w14:paraId="5A8932F7" w14:textId="77777777" w:rsidR="000204B8" w:rsidRDefault="000204B8" w:rsidP="000C263E">
      <w:pPr>
        <w:spacing w:line="360" w:lineRule="auto"/>
        <w:rPr>
          <w:rFonts w:cstheme="minorHAnsi"/>
          <w:szCs w:val="24"/>
        </w:rPr>
      </w:pPr>
    </w:p>
    <w:p w14:paraId="3E58AD08" w14:textId="77777777" w:rsidR="000204B8" w:rsidRDefault="000204B8" w:rsidP="000C263E">
      <w:pPr>
        <w:spacing w:line="360" w:lineRule="auto"/>
        <w:rPr>
          <w:rFonts w:cstheme="minorHAnsi"/>
          <w:iCs/>
          <w:szCs w:val="24"/>
        </w:rPr>
      </w:pPr>
      <w:r>
        <w:rPr>
          <w:rFonts w:cstheme="minorHAnsi"/>
          <w:iCs/>
          <w:szCs w:val="24"/>
        </w:rPr>
        <w:t xml:space="preserve">Sackville-West, Vita. </w:t>
      </w:r>
    </w:p>
    <w:p w14:paraId="3C8360B9" w14:textId="77777777" w:rsidR="000204B8" w:rsidRPr="00AE63B4" w:rsidRDefault="000204B8" w:rsidP="000C263E">
      <w:pPr>
        <w:spacing w:line="360" w:lineRule="auto"/>
        <w:rPr>
          <w:rFonts w:cstheme="minorHAnsi"/>
          <w:szCs w:val="24"/>
        </w:rPr>
      </w:pPr>
      <w:r>
        <w:rPr>
          <w:rFonts w:cstheme="minorHAnsi"/>
          <w:i/>
          <w:szCs w:val="24"/>
        </w:rPr>
        <w:tab/>
        <w:t xml:space="preserve">Family History. </w:t>
      </w:r>
      <w:r w:rsidRPr="00AE63B4">
        <w:rPr>
          <w:rFonts w:cstheme="minorHAnsi"/>
          <w:szCs w:val="24"/>
        </w:rPr>
        <w:t>St Ives: Vintage, 1996</w:t>
      </w:r>
      <w:r>
        <w:rPr>
          <w:rFonts w:cstheme="minorHAnsi"/>
          <w:szCs w:val="24"/>
        </w:rPr>
        <w:t xml:space="preserve">. Print. </w:t>
      </w:r>
    </w:p>
    <w:p w14:paraId="21F3AE22" w14:textId="40EE6C89" w:rsidR="000204B8" w:rsidRDefault="000204B8" w:rsidP="000C263E">
      <w:pPr>
        <w:spacing w:line="360" w:lineRule="auto"/>
        <w:rPr>
          <w:rFonts w:cstheme="minorHAnsi"/>
          <w:szCs w:val="24"/>
        </w:rPr>
      </w:pPr>
      <w:r>
        <w:rPr>
          <w:rFonts w:cstheme="minorHAnsi"/>
          <w:i/>
          <w:szCs w:val="24"/>
        </w:rPr>
        <w:tab/>
      </w:r>
      <w:r w:rsidRPr="00933292">
        <w:rPr>
          <w:rFonts w:cstheme="minorHAnsi"/>
          <w:i/>
          <w:szCs w:val="24"/>
        </w:rPr>
        <w:t>The Edwardians</w:t>
      </w:r>
      <w:r>
        <w:rPr>
          <w:rFonts w:cstheme="minorHAnsi"/>
          <w:szCs w:val="24"/>
        </w:rPr>
        <w:t>. St Ives: Vintage, 2016. Print.</w:t>
      </w:r>
    </w:p>
    <w:p w14:paraId="1C6C0AAC" w14:textId="77777777" w:rsidR="000204B8" w:rsidRDefault="000204B8" w:rsidP="000C263E">
      <w:pPr>
        <w:spacing w:line="360" w:lineRule="auto"/>
        <w:rPr>
          <w:rFonts w:cstheme="minorHAnsi"/>
          <w:szCs w:val="24"/>
        </w:rPr>
      </w:pPr>
      <w:r>
        <w:rPr>
          <w:rFonts w:cstheme="minorHAnsi"/>
          <w:szCs w:val="24"/>
        </w:rPr>
        <w:tab/>
      </w:r>
      <w:r w:rsidRPr="00396AEA">
        <w:rPr>
          <w:rFonts w:cstheme="minorHAnsi"/>
          <w:i/>
          <w:iCs/>
          <w:szCs w:val="24"/>
        </w:rPr>
        <w:t>The Garden</w:t>
      </w:r>
      <w:r>
        <w:rPr>
          <w:rFonts w:cstheme="minorHAnsi"/>
          <w:szCs w:val="24"/>
        </w:rPr>
        <w:t>. Woking: Michael Joseph Ltd, (First pub 1946). Print.</w:t>
      </w:r>
    </w:p>
    <w:p w14:paraId="77E2246D" w14:textId="77777777" w:rsidR="000204B8" w:rsidRDefault="000204B8" w:rsidP="000C263E">
      <w:pPr>
        <w:spacing w:line="360" w:lineRule="auto"/>
        <w:rPr>
          <w:rFonts w:cstheme="minorHAnsi"/>
          <w:szCs w:val="24"/>
        </w:rPr>
      </w:pPr>
      <w:r>
        <w:rPr>
          <w:rFonts w:cstheme="minorHAnsi"/>
          <w:szCs w:val="24"/>
        </w:rPr>
        <w:tab/>
      </w:r>
      <w:r w:rsidRPr="00933292">
        <w:rPr>
          <w:rFonts w:cstheme="minorHAnsi"/>
          <w:i/>
          <w:szCs w:val="24"/>
        </w:rPr>
        <w:t>The Land</w:t>
      </w:r>
      <w:r>
        <w:rPr>
          <w:rFonts w:cstheme="minorHAnsi"/>
          <w:szCs w:val="24"/>
        </w:rPr>
        <w:t>. England: Frances Lincoln Ltd, 2004. Print.</w:t>
      </w:r>
    </w:p>
    <w:p w14:paraId="6AA5DDD7" w14:textId="77777777" w:rsidR="000204B8" w:rsidRDefault="000204B8" w:rsidP="000C263E">
      <w:pPr>
        <w:spacing w:line="360" w:lineRule="auto"/>
        <w:rPr>
          <w:rFonts w:cstheme="minorHAnsi"/>
          <w:szCs w:val="24"/>
        </w:rPr>
      </w:pPr>
    </w:p>
    <w:sectPr w:rsidR="000204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D896B9" w14:textId="77777777" w:rsidR="009905F8" w:rsidRDefault="009905F8" w:rsidP="000C263E">
      <w:pPr>
        <w:spacing w:after="0" w:line="240" w:lineRule="auto"/>
      </w:pPr>
      <w:r>
        <w:separator/>
      </w:r>
    </w:p>
  </w:endnote>
  <w:endnote w:type="continuationSeparator" w:id="0">
    <w:p w14:paraId="02F21587" w14:textId="77777777" w:rsidR="009905F8" w:rsidRDefault="009905F8" w:rsidP="000C26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86FDE4" w14:textId="77777777" w:rsidR="009905F8" w:rsidRDefault="009905F8" w:rsidP="000C263E">
      <w:pPr>
        <w:spacing w:after="0" w:line="240" w:lineRule="auto"/>
      </w:pPr>
      <w:r>
        <w:separator/>
      </w:r>
    </w:p>
  </w:footnote>
  <w:footnote w:type="continuationSeparator" w:id="0">
    <w:p w14:paraId="314F1020" w14:textId="77777777" w:rsidR="009905F8" w:rsidRDefault="009905F8" w:rsidP="000C263E">
      <w:pPr>
        <w:spacing w:after="0" w:line="240" w:lineRule="auto"/>
      </w:pPr>
      <w:r>
        <w:continuationSeparator/>
      </w:r>
    </w:p>
  </w:footnote>
  <w:footnote w:id="1">
    <w:p w14:paraId="1AE44372" w14:textId="77777777" w:rsidR="000C263E" w:rsidRDefault="000C263E" w:rsidP="000C263E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cstheme="minorHAnsi"/>
          <w:szCs w:val="24"/>
        </w:rPr>
        <w:t xml:space="preserve">Nicolson. </w:t>
      </w:r>
      <w:r w:rsidRPr="00484547">
        <w:rPr>
          <w:rFonts w:cstheme="minorHAnsi"/>
          <w:i/>
          <w:iCs/>
          <w:szCs w:val="24"/>
        </w:rPr>
        <w:t>Letters</w:t>
      </w:r>
      <w:r>
        <w:rPr>
          <w:rFonts w:cstheme="minorHAnsi"/>
          <w:szCs w:val="24"/>
        </w:rPr>
        <w:t xml:space="preserve"> 425.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5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4F8"/>
    <w:rsid w:val="000204B8"/>
    <w:rsid w:val="00035726"/>
    <w:rsid w:val="00060A81"/>
    <w:rsid w:val="000C263E"/>
    <w:rsid w:val="000F00F0"/>
    <w:rsid w:val="001F3DAF"/>
    <w:rsid w:val="001F74F8"/>
    <w:rsid w:val="0041601E"/>
    <w:rsid w:val="004747D2"/>
    <w:rsid w:val="004D435D"/>
    <w:rsid w:val="006427F0"/>
    <w:rsid w:val="006725A9"/>
    <w:rsid w:val="007A56C4"/>
    <w:rsid w:val="0084244F"/>
    <w:rsid w:val="0087188C"/>
    <w:rsid w:val="008D7F70"/>
    <w:rsid w:val="009905F8"/>
    <w:rsid w:val="00AF4D06"/>
    <w:rsid w:val="00B71707"/>
    <w:rsid w:val="00B766A1"/>
    <w:rsid w:val="00C657BB"/>
    <w:rsid w:val="00C85ADA"/>
    <w:rsid w:val="00DC7A18"/>
    <w:rsid w:val="00DF7171"/>
    <w:rsid w:val="00E4266B"/>
    <w:rsid w:val="00EF7B29"/>
    <w:rsid w:val="00F12FA4"/>
    <w:rsid w:val="00F24E48"/>
    <w:rsid w:val="00F41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CBA96"/>
  <w15:chartTrackingRefBased/>
  <w15:docId w15:val="{F9FD7FE7-7AB9-40E0-B2AE-2FA3CD555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27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27F0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C263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C263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C263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roombridgeplace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Long_Bar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nationaltrust.org.uk/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605</Words>
  <Characters>3452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Clare Nursey</dc:creator>
  <cp:keywords/>
  <dc:description/>
  <cp:lastModifiedBy>PAUL CAMPBELL</cp:lastModifiedBy>
  <cp:revision>4</cp:revision>
  <dcterms:created xsi:type="dcterms:W3CDTF">2020-10-28T18:59:00Z</dcterms:created>
  <dcterms:modified xsi:type="dcterms:W3CDTF">2020-10-28T19:15:00Z</dcterms:modified>
</cp:coreProperties>
</file>