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 w:before="0" w:line="269" w:lineRule="auto"/>
      </w:pPr>
    </w:p>
    <w:p>
      <w:pPr>
        <w:spacing w:after="80"/>
      </w:pPr>
      <w:r>
        <w:rPr>
          <w:b/>
          <w:color w:val="1E5E3A"/>
          <w:sz w:val="24"/>
        </w:rPr>
        <w:t>ODOO 19</w:t>
      </w:r>
    </w:p>
    <w:p>
      <w:pPr>
        <w:spacing w:after="160"/>
      </w:pPr>
      <w:r>
        <w:rPr>
          <w:b/>
          <w:color w:val="141414"/>
          <w:sz w:val="60"/>
        </w:rPr>
        <w:t>Offene Punkte und Umsetzungsstand</w:t>
      </w:r>
    </w:p>
    <w:p>
      <w:pPr>
        <w:spacing w:after="80"/>
      </w:pPr>
      <w:r>
        <w:rPr>
          <w:color w:val="1E5E3A"/>
          <w:sz w:val="26"/>
        </w:rPr>
        <w:t>Erzberger Holzkunst  ·  Erzberger Verpackungssysteme</w:t>
      </w:r>
    </w:p>
    <w:p>
      <w:pPr>
        <w:spacing w:after="520"/>
      </w:pPr>
      <w:r>
        <w:rPr>
          <w:i/>
          <w:color w:val="555555"/>
          <w:sz w:val="21"/>
        </w:rPr>
        <w:t>Rückmeldungen vom 26.10.2026 – Stand der Umsetzung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Stand</w:t>
            </w:r>
          </w:p>
        </w:tc>
        <w:tc>
          <w:tcPr>
            <w:tcW w:type="dxa" w:w="3137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System</w:t>
            </w:r>
          </w:p>
        </w:tc>
        <w:tc>
          <w:tcPr>
            <w:tcW w:type="dxa" w:w="3137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Umgebung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26.10.2026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Odoo 19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Staging geprüft, Produktion teilweise</w:t>
            </w:r>
          </w:p>
        </w:tc>
      </w:tr>
    </w:tbl>
    <w:p>
      <w:r>
        <w:br w:type="page"/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Dieses Dokument fasst die sechs Rückmeldungen vom 26.10.2026 zusammen: was jeweils gemeint ist, was bereits umgesetzt wurde und was noch offen ist.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Alle Punkte wurden zuerst auf der Staging-Umgebung geprüft. Änderungen an der Produktion sind gesondert gekennzeichnet.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737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Nr.</w:t>
            </w:r>
          </w:p>
        </w:tc>
        <w:tc>
          <w:tcPr>
            <w:tcW w:type="dxa" w:w="4819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Thema</w:t>
            </w:r>
          </w:p>
        </w:tc>
        <w:tc>
          <w:tcPr>
            <w:tcW w:type="dxa" w:w="3515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4819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Kundenreferenz auf dem Lieferschein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umgesetzt, Feld muss befüllt werden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4819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E-Mails werden nicht versendet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teilweise behoben – Domainentscheidung offen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4819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Text aus der Vorlage auf der Rechnung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umgesetzt (Staging geprüft)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4819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Fehlermeldung bei der E-Rechnung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Ursache geklärt, Stammdaten auf Staging ergänzt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4819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Rechnung wird nur als ZUGFeRD/XML geliefert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umgesetzt (Staging geprüft)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4819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TSE-Kasseneinheit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offen – Hardware und Anbieter erforderlich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6" w:space="3" w:color="1E5E3A"/>
        </w:pBdr>
      </w:pPr>
      <w:r>
        <w:rPr>
          <w:b/>
          <w:color w:val="1E5E3A"/>
          <w:sz w:val="28"/>
        </w:rPr>
        <w:t>1  Kundenreferenz auf dem Lieferschein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Gemeint ist die Bestellnummer des Kunden. Sie fehlte auf dem Lieferschein; dort stand bisher nur die Bestellnummer des eigenen Vorgangs (z. B. P00089).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Umgesetzt ist ein Feld „Kundenreferenz“ auf dem Liefer-/Umlagerungsbeleg. Es wird aus dem Verkaufsauftrag übernommen, kann auf dem Beleg korrigiert werden und wird auf dem Lieferschein direkt unter „Bestellnummer“ gedruckt.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Umgesetzt</w:t>
      </w:r>
    </w:p>
    <w:p>
      <w:pPr>
        <w:pStyle w:val="ListBullet"/>
        <w:spacing w:after="40" w:line="264" w:lineRule="auto"/>
      </w:pPr>
      <w:r>
        <w:rPr>
          <w:sz w:val="20"/>
        </w:rPr>
        <w:t>Feld auf dem Beleg vorhanden (Reiter „Zusätzliche Infos“, direkt unter „Verkaufsauftrag“).</w:t>
      </w:r>
    </w:p>
    <w:p>
      <w:pPr>
        <w:pStyle w:val="ListBullet"/>
        <w:spacing w:after="40" w:line="264" w:lineRule="auto"/>
      </w:pPr>
      <w:r>
        <w:rPr>
          <w:sz w:val="20"/>
        </w:rPr>
        <w:t>Druck auf dem Lieferschein: Zeile „Kundenreferenz: …“, nur wenn ein Wert vorhanden ist.</w:t>
      </w:r>
    </w:p>
    <w:p>
      <w:pPr>
        <w:pStyle w:val="ListBullet"/>
        <w:spacing w:after="40" w:line="264" w:lineRule="auto"/>
      </w:pPr>
      <w:r>
        <w:rPr>
          <w:sz w:val="20"/>
        </w:rPr>
        <w:t>Auf Staging und Produktion aktiv; geprüft mit Beleg EV/OUT/00014 (S00049, BS 204164).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Offen</w:t>
      </w:r>
    </w:p>
    <w:p>
      <w:pPr>
        <w:pStyle w:val="ListBullet"/>
        <w:spacing w:after="40" w:line="264" w:lineRule="auto"/>
      </w:pPr>
      <w:r>
        <w:rPr>
          <w:sz w:val="20"/>
        </w:rPr>
        <w:t>Bei DS/00036 ist das Feld leer, weil der Verkaufsauftrag S00074 keine Kundenreferenz enthält.</w:t>
      </w:r>
    </w:p>
    <w:p>
      <w:pPr>
        <w:pStyle w:val="ListBullet"/>
        <w:spacing w:after="40" w:line="264" w:lineRule="auto"/>
      </w:pPr>
      <w:r>
        <w:rPr>
          <w:sz w:val="20"/>
        </w:rPr>
        <w:t>Die Nummer einmalig im Auftrag eintragen: S00074 → Reiter „Weitere Informationen“ → Feld „Kundenreferenz“.</w:t>
      </w:r>
    </w:p>
    <w:p>
      <w:pPr>
        <w:pStyle w:val="ListBullet"/>
        <w:spacing w:after="40" w:line="264" w:lineRule="auto"/>
      </w:pPr>
      <w:r>
        <w:rPr>
          <w:sz w:val="20"/>
        </w:rPr>
        <w:t>Danach erscheint sie automatisch auf allen Belegen und Lieferscheinen dieses Auftrags.</w:t>
      </w:r>
    </w:p>
    <w:p>
      <w:pPr>
        <w:keepNext/>
        <w:spacing w:before="320" w:after="120"/>
        <w:pBdr>
          <w:bottom w:val="single" w:sz="6" w:space="3" w:color="1E5E3A"/>
        </w:pBdr>
      </w:pPr>
      <w:r>
        <w:rPr>
          <w:b/>
          <w:color w:val="1E5E3A"/>
          <w:sz w:val="28"/>
        </w:rPr>
        <w:t>2  E-Mails werden nicht versendet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Die Fehlermeldung lautet: „550 5.7.1 Refused by local policy. No SPAM please!“ – der Mailserver von STRATO weist die Nachricht ab, sie wird also nicht zugestellt.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Ursache 1: Alle acht STRATO-Konten waren in Odoo mit derselben Domain hinterlegt. Odoo hat dadurch jede Mail über dasselbe Konto versendet (bestellung@ bzw. rechnung@), unabhängig davon, wer der Absender war.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Ursache 2: STRATO blockiert zusätzlich den Inhalt. Nachrichten, die einen Link auf erzberger-prod.cloudpepper.site enthalten, werden abgewiesen – geprüft mit Testnachrichten: derselbe Text mit einem Link auf die eigene Domain wird angenommen, mit dem CloudPepper-Link abgewiesen.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Umgesetzt</w:t>
      </w:r>
    </w:p>
    <w:p>
      <w:pPr>
        <w:pStyle w:val="ListBullet"/>
        <w:spacing w:after="40" w:line="264" w:lineRule="auto"/>
      </w:pPr>
      <w:r>
        <w:rPr>
          <w:sz w:val="20"/>
        </w:rPr>
        <w:t>Auf der Produktion ist jedem Konto seine eigene Adresse als Absenderfilter zugeordnet.</w:t>
      </w:r>
    </w:p>
    <w:p>
      <w:pPr>
        <w:pStyle w:val="ListBullet"/>
        <w:spacing w:after="40" w:line="264" w:lineRule="auto"/>
      </w:pPr>
      <w:r>
        <w:rPr>
          <w:sz w:val="20"/>
        </w:rPr>
        <w:t>Damit versendet jeder Benutzer über sein eigenes Postfach; Testnachrichten wurden angenommen.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Offen</w:t>
      </w:r>
    </w:p>
    <w:p>
      <w:pPr>
        <w:pStyle w:val="ListBullet"/>
        <w:spacing w:after="40" w:line="264" w:lineRule="auto"/>
      </w:pPr>
      <w:r>
        <w:rPr>
          <w:sz w:val="20"/>
        </w:rPr>
        <w:t>Eigene Domain für Odoo anlegen, z. B. erp.erzberger-verpackungssysteme.de auf 116.203.51.135 (Eintrag bei STRATO). Danach werden alle Links in den Mails auf die eigene Domain umgestellt.</w:t>
      </w:r>
    </w:p>
    <w:p>
      <w:pPr>
        <w:pStyle w:val="ListBullet"/>
        <w:spacing w:after="40" w:line="264" w:lineRule="auto"/>
      </w:pPr>
      <w:r>
        <w:rPr>
          <w:sz w:val="20"/>
        </w:rPr>
        <w:t>Alternativ bzw. zusätzlich: STRATO bitten, den Absender freizuschalten.</w:t>
      </w:r>
    </w:p>
    <w:p>
      <w:pPr>
        <w:pStyle w:val="ListBullet"/>
        <w:spacing w:after="40" w:line="264" w:lineRule="auto"/>
      </w:pPr>
      <w:r>
        <w:rPr>
          <w:sz w:val="20"/>
        </w:rPr>
        <w:t>Die Benachrichtigungsmails enthalten zusätzlich redirect-url.email-Links; diese werden von STRATO ebenfalls beanstandet und benötigen die Freischaltung.</w:t>
      </w:r>
    </w:p>
    <w:p>
      <w:pPr>
        <w:keepNext/>
        <w:spacing w:before="320" w:after="120"/>
        <w:pBdr>
          <w:bottom w:val="single" w:sz="6" w:space="3" w:color="1E5E3A"/>
        </w:pBdr>
      </w:pPr>
      <w:r>
        <w:rPr>
          <w:b/>
          <w:color w:val="1E5E3A"/>
          <w:sz w:val="28"/>
        </w:rPr>
        <w:t>3  Text aus der Verkaufsvorlage auf der Rechnung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Gemeint ist der Text „Allgemeine Geschäftsbedingungen / Konditionen“ aus der Verkaufsvorlage. Odoo hat diesen Text beim Erstellen der Rechnung automatisch mit übernommen.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Die Übernahme ist abgeschaltet: Die Rechnung startet ohne diesen Text. Wird ein Text auf der Rechnung benötigt, kann er direkt auf der Rechnung eingetragen werden.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Umgesetzt</w:t>
      </w:r>
    </w:p>
    <w:p>
      <w:pPr>
        <w:pStyle w:val="ListBullet"/>
        <w:spacing w:after="40" w:line="264" w:lineRule="auto"/>
      </w:pPr>
      <w:r>
        <w:rPr>
          <w:sz w:val="20"/>
        </w:rPr>
        <w:t>Auf Staging umgesetzt und geprüft (Auftrag S00056 aus der Vorlage, Rechnung ohne Text).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Offen</w:t>
      </w:r>
    </w:p>
    <w:p>
      <w:pPr>
        <w:pStyle w:val="ListBullet"/>
        <w:spacing w:after="40" w:line="264" w:lineRule="auto"/>
      </w:pPr>
      <w:r>
        <w:rPr>
          <w:sz w:val="20"/>
        </w:rPr>
        <w:t>Übernahme in die Produktion mit dem nächsten Update.</w:t>
      </w:r>
    </w:p>
    <w:p>
      <w:pPr>
        <w:keepNext/>
        <w:spacing w:before="320" w:after="120"/>
        <w:pBdr>
          <w:bottom w:val="single" w:sz="6" w:space="3" w:color="1E5E3A"/>
        </w:pBdr>
      </w:pPr>
      <w:r>
        <w:rPr>
          <w:b/>
          <w:color w:val="1E5E3A"/>
          <w:sz w:val="28"/>
        </w:rPr>
        <w:t>4  Fehlermeldung bei der E-Rechnung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Die Meldung stammt aus der Prüfung der E-Rechnung (Format Factur-X / XRechnung). Sie bedeutet: Für die Rechnung fehlen drei Pflichtangaben.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195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Meldung</w:t>
            </w:r>
          </w:p>
        </w:tc>
        <w:tc>
          <w:tcPr>
            <w:tcW w:type="dxa" w:w="4876"/>
            <w:shd w:val="clear" w:color="auto" w:fill="1E5E3A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„Bereinigte Kontonummer“ … erforderlich</w:t>
            </w:r>
          </w:p>
        </w:tc>
        <w:tc>
          <w:tcPr>
            <w:tcW w:type="dxa" w:w="4876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Die Bankverbindung des Rechnungsstellers fehlt; die Kontonummer muss ohne Leerzeichen hinterlegt sein.</w:t>
            </w:r>
          </w:p>
        </w:tc>
      </w:tr>
      <w:tr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„Telefon“ … für Erzberger Verpackungssysteme erforderlich</w:t>
            </w:r>
          </w:p>
        </w:tc>
        <w:tc>
          <w:tcPr>
            <w:tcW w:type="dxa" w:w="4876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Die Telefonnummer des Rechnungsstellers fehlt in den Firmendaten.</w:t>
            </w:r>
          </w:p>
        </w:tc>
      </w:tr>
      <w:tr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„Empfängerbank“ … für INV/2026/00009 erforderlich</w:t>
            </w:r>
          </w:p>
        </w:tc>
        <w:tc>
          <w:tcPr>
            <w:tcW w:type="dxa" w:w="4876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  <w:t>Der Rechnung ist keine Bankverbindung zugeordnet.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b/>
          <w:color w:val="222222"/>
          <w:sz w:val="22"/>
        </w:rPr>
        <w:t>Umgesetzt</w:t>
      </w:r>
    </w:p>
    <w:p>
      <w:pPr>
        <w:pStyle w:val="ListBullet"/>
        <w:spacing w:after="40" w:line="264" w:lineRule="auto"/>
      </w:pPr>
      <w:r>
        <w:rPr>
          <w:sz w:val="20"/>
        </w:rPr>
        <w:t>Auf Staging sind die Bankkonten beider Firmen hinterlegt (Erzgebirgssparkasse) und mit den Bankjournalen verknüpft; dadurch wird die Bankverbindung je Rechnung automatisch gesetzt.</w:t>
      </w:r>
    </w:p>
    <w:p>
      <w:pPr>
        <w:pStyle w:val="ListBullet"/>
        <w:spacing w:after="40" w:line="264" w:lineRule="auto"/>
      </w:pPr>
      <w:r>
        <w:rPr>
          <w:sz w:val="20"/>
        </w:rPr>
        <w:t>Die Telefonnummer von Erzberger Verpackungssysteme ist ergänzt.</w:t>
      </w:r>
    </w:p>
    <w:p>
      <w:pPr>
        <w:pStyle w:val="ListBullet"/>
        <w:spacing w:after="40" w:line="264" w:lineRule="auto"/>
      </w:pPr>
      <w:r>
        <w:rPr>
          <w:sz w:val="20"/>
        </w:rPr>
        <w:t>Ergebnis: Die E-Rechnung lässt sich ohne Fehlermeldung erzeugen (geprüft mit INV/2026/00006 und INV/2026/00007).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Offen</w:t>
      </w:r>
    </w:p>
    <w:p>
      <w:pPr>
        <w:pStyle w:val="ListBullet"/>
        <w:spacing w:after="40" w:line="264" w:lineRule="auto"/>
      </w:pPr>
      <w:r>
        <w:rPr>
          <w:sz w:val="20"/>
        </w:rPr>
        <w:t>Dieselben Stammdaten in der Produktion ergänzen (Bankkonten, Verknüpfung, Telefonnummer).</w:t>
      </w:r>
    </w:p>
    <w:p>
      <w:pPr>
        <w:pStyle w:val="ListBullet"/>
        <w:spacing w:after="40" w:line="264" w:lineRule="auto"/>
      </w:pPr>
      <w:r>
        <w:rPr>
          <w:sz w:val="20"/>
        </w:rPr>
        <w:t>IBAN bestätigen: DE37 8705 4000 3612 0096 47 (Verpackungssysteme) und DE87 8705 4000 0725 0807 79 (Holzkunst) – entnommen aus den Briefköpfen.</w:t>
      </w:r>
    </w:p>
    <w:p>
      <w:pPr>
        <w:pStyle w:val="ListBullet"/>
        <w:spacing w:after="40" w:line="264" w:lineRule="auto"/>
      </w:pPr>
      <w:r>
        <w:rPr>
          <w:sz w:val="20"/>
        </w:rPr>
        <w:t>INV/2026/00003 (Gutschein 50 €) hat Positionen ohne Steuer. Für die E-Rechnung ist mindestens eine Steuer je Position erforderlich (z. B. 0 %).</w:t>
      </w:r>
    </w:p>
    <w:p>
      <w:pPr>
        <w:keepNext/>
        <w:spacing w:before="320" w:after="120"/>
        <w:pBdr>
          <w:bottom w:val="single" w:sz="6" w:space="3" w:color="1E5E3A"/>
        </w:pBdr>
      </w:pPr>
      <w:r>
        <w:rPr>
          <w:b/>
          <w:color w:val="1E5E3A"/>
          <w:sz w:val="28"/>
        </w:rPr>
        <w:t>5  Rechnung wird nur als ZUGFeRD/XML geliefert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ZUGFeRD bzw. Factur-X ist das deutsche Format der E-Rechnung: eine normale PDF-Datei, in der die Rechnungsdaten zusätzlich als XML eingebettet sind.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Odoo hat diese Datei aus der Standardvorlage erzeugt, nicht aus dem Erzberger-Rechnungslayout. Der Kunde erhielt dadurch eine allgemeine Odoo-Rechnung mit XML, nicht die gewohnte Rechnung.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Umgesetzt</w:t>
      </w:r>
    </w:p>
    <w:p>
      <w:pPr>
        <w:pStyle w:val="ListBullet"/>
        <w:spacing w:after="40" w:line="264" w:lineRule="auto"/>
      </w:pPr>
      <w:r>
        <w:rPr>
          <w:sz w:val="20"/>
        </w:rPr>
        <w:t>Auf Staging erzeugen die Verkaufsjournale die Rechnung mit dem Erzberger Layout (Verpackungssysteme bzw. Holzkunst).</w:t>
      </w:r>
    </w:p>
    <w:p>
      <w:pPr>
        <w:pStyle w:val="ListBullet"/>
        <w:spacing w:after="40" w:line="264" w:lineRule="auto"/>
      </w:pPr>
      <w:r>
        <w:rPr>
          <w:sz w:val="20"/>
        </w:rPr>
        <w:t>Die XML-Daten werden in dieses Layout eingebettet; geprüft: eine PDF-Datei mit Layout und eingebetteter XML-Datei.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Offen</w:t>
      </w:r>
    </w:p>
    <w:p>
      <w:pPr>
        <w:pStyle w:val="ListBullet"/>
        <w:spacing w:after="40" w:line="264" w:lineRule="auto"/>
      </w:pPr>
      <w:r>
        <w:rPr>
          <w:sz w:val="20"/>
        </w:rPr>
        <w:t>Übernahme in die Produktion mit dem nächsten Update.</w:t>
      </w:r>
    </w:p>
    <w:p>
      <w:pPr>
        <w:keepNext/>
        <w:spacing w:before="320" w:after="120"/>
        <w:pBdr>
          <w:bottom w:val="single" w:sz="6" w:space="3" w:color="1E5E3A"/>
        </w:pBdr>
      </w:pPr>
      <w:r>
        <w:rPr>
          <w:b/>
          <w:color w:val="1E5E3A"/>
          <w:sz w:val="28"/>
        </w:rPr>
        <w:t>6  TSE-Kasseneinheit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Die TSE ist die technische Sicherheitseinrichtung der Kasse; sie signiert jeden Kassenbeleg. Ohne sie dürfen keine Belege im Sinne der Kassenführungsverordnung erzeugt werden.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Der Betrieb ist vom Server aus nicht möglich: Die TSE steckt im Bondrucker im Ladengeschäft, das Gerät ist noch nicht initialisiert und die Anbindung ist nicht eingerichtet.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Umgesetzt</w:t>
      </w:r>
    </w:p>
    <w:p>
      <w:pPr>
        <w:pStyle w:val="ListBullet"/>
        <w:spacing w:after="40" w:line="264" w:lineRule="auto"/>
      </w:pPr>
      <w:r>
        <w:rPr>
          <w:sz w:val="20"/>
        </w:rPr>
        <w:t>Geprüft: Die Anbindung ist derzeit nicht möglich; das mitgelieferte Modul erzeugt keine gültigen Signaturen.</w:t>
      </w:r>
    </w:p>
    <w:p>
      <w:pPr>
        <w:keepNext/>
        <w:spacing w:before="200" w:after="60"/>
      </w:pPr>
      <w:r>
        <w:rPr>
          <w:b/>
          <w:color w:val="222222"/>
          <w:sz w:val="22"/>
        </w:rPr>
        <w:t>Offen</w:t>
      </w:r>
    </w:p>
    <w:p>
      <w:pPr>
        <w:pStyle w:val="ListBullet"/>
        <w:spacing w:after="40" w:line="264" w:lineRule="auto"/>
      </w:pPr>
      <w:r>
        <w:rPr>
          <w:sz w:val="20"/>
        </w:rPr>
        <w:t>Entscheidung für einen Anbieter (Cloud-TSE über fiskaly oder Middleware über fiskaltrust).</w:t>
      </w:r>
    </w:p>
    <w:p>
      <w:pPr>
        <w:pStyle w:val="ListBullet"/>
        <w:spacing w:after="40" w:line="264" w:lineRule="auto"/>
      </w:pPr>
      <w:r>
        <w:rPr>
          <w:sz w:val="20"/>
        </w:rPr>
        <w:t>Zugangsdaten des Anbieters bereitstellen.</w:t>
      </w:r>
    </w:p>
    <w:p>
      <w:pPr>
        <w:pStyle w:val="ListBullet"/>
        <w:spacing w:after="40" w:line="264" w:lineRule="auto"/>
      </w:pPr>
      <w:r>
        <w:rPr>
          <w:sz w:val="20"/>
        </w:rPr>
        <w:t>Einrichtung vor Ort: TSE-Stick im Bondrucker, Kassenanbindung, Testbeleg.</w:t>
      </w:r>
    </w:p>
    <w:p>
      <w:pPr>
        <w:keepNext/>
        <w:spacing w:before="320" w:after="120"/>
        <w:pBdr>
          <w:bottom w:val="single" w:sz="6" w:space="3" w:color="1E5E3A"/>
        </w:pBdr>
      </w:pPr>
      <w:r>
        <w:rPr>
          <w:b/>
          <w:color w:val="1E5E3A"/>
          <w:sz w:val="28"/>
        </w:rPr>
        <w:t>Technischer Anhang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Modulstand: 19.0.1.5.0 (Staging). Produktion: 19.0.1.2.0 – die Punkte 3 bis 5 folgen mit dem nächsten Update.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Bestandteile der Änderungen: Feld Kundenreferenz auf dem Lieferbeleg, Entfall der Textübernahme in die Rechnung, Korrektur der Rechnungsdruck-Position (E-Rechnung), Standard-Rechnungsvorlage je Verkaufsjournal, Absenderfilter der Mailkonten.</w:t>
      </w:r>
    </w:p>
    <w:p>
      <w:pPr>
        <w:spacing w:after="120" w:before="0" w:line="269" w:lineRule="auto"/>
      </w:pPr>
      <w:r>
        <w:rPr>
          <w:b w:val="0"/>
          <w:i w:val="0"/>
          <w:sz w:val="21"/>
        </w:rPr>
        <w:t>Alle Änderungen wurden vor der Übernahme auf einer Kopie der Daten geprüft.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Offene Punkte und Umsetzungsstand   | 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