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A57"/>
          <w:sz w:val="48"/>
        </w:rPr>
        <w:t>Spykar Technical SEO Audit</w:t>
      </w:r>
    </w:p>
    <w:p>
      <w:pPr>
        <w:jc w:val="center"/>
      </w:pPr>
      <w:r>
        <w:rPr>
          <w:i/>
        </w:rPr>
        <w:t>Evidence period: 17 Feb–15 Aug 2026 vs 21 Aug 2025–16 Feb 2026 | Run date: 18 Aug 2026</w:t>
      </w:r>
    </w:p>
    <w:p>
      <w:pPr>
        <w:pStyle w:val="Heading1"/>
      </w:pPr>
      <w:r>
        <w:rPr>
          <w:color w:val="173A57"/>
        </w:rPr>
        <w:t>Executive summary</w:t>
      </w:r>
    </w:p>
    <w:p>
      <w:r>
        <w:t>Organic visibility and Organic Search traffic have declined materially even as average Google position improved. This points to a mix of lower search demand/impressions, weak SERP click-through rate, and page-level commercial/content gaps—not a single confirmed crawling failure. The highest-impact work is to improve category-page SERP appeal and intent coverage, resolve GA4 landing-page attribution, and verify sitemap/indexing coverage with URL Inspection.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73A57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664"/>
            <w:shd w:fill="173A57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Current</w:t>
            </w:r>
          </w:p>
        </w:tc>
        <w:tc>
          <w:tcPr>
            <w:tcW w:type="dxa" w:w="2664"/>
            <w:shd w:fill="173A57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Previous</w:t>
            </w:r>
          </w:p>
        </w:tc>
        <w:tc>
          <w:tcPr>
            <w:tcW w:type="dxa" w:w="2664"/>
            <w:shd w:fill="173A57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Change</w:t>
            </w:r>
          </w:p>
        </w:tc>
      </w:tr>
      <w:tr>
        <w:tc>
          <w:tcPr>
            <w:tcW w:type="dxa" w:w="2664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GSC clicks</w:t>
            </w:r>
          </w:p>
        </w:tc>
        <w:tc>
          <w:tcPr>
            <w:tcW w:type="dxa" w:w="2664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140,387</w:t>
            </w:r>
          </w:p>
        </w:tc>
        <w:tc>
          <w:tcPr>
            <w:tcW w:type="dxa" w:w="2664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283,684</w:t>
            </w:r>
          </w:p>
        </w:tc>
        <w:tc>
          <w:tcPr>
            <w:tcW w:type="dxa" w:w="2664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-50.5%</w:t>
            </w:r>
          </w:p>
        </w:tc>
      </w:tr>
      <w:tr>
        <w:tc>
          <w:tcPr>
            <w:tcW w:type="dxa" w:w="2664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GSC impressions</w:t>
            </w:r>
          </w:p>
        </w:tc>
        <w:tc>
          <w:tcPr>
            <w:tcW w:type="dxa" w:w="2664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11.66M</w:t>
            </w:r>
          </w:p>
        </w:tc>
        <w:tc>
          <w:tcPr>
            <w:tcW w:type="dxa" w:w="2664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19.19M</w:t>
            </w:r>
          </w:p>
        </w:tc>
        <w:tc>
          <w:tcPr>
            <w:tcW w:type="dxa" w:w="2664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-39.2%</w:t>
            </w:r>
          </w:p>
        </w:tc>
      </w:tr>
      <w:tr>
        <w:tc>
          <w:tcPr>
            <w:tcW w:type="dxa" w:w="2664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GSC CTR</w:t>
            </w:r>
          </w:p>
        </w:tc>
        <w:tc>
          <w:tcPr>
            <w:tcW w:type="dxa" w:w="2664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1.20%</w:t>
            </w:r>
          </w:p>
        </w:tc>
        <w:tc>
          <w:tcPr>
            <w:tcW w:type="dxa" w:w="2664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1.48%</w:t>
            </w:r>
          </w:p>
        </w:tc>
        <w:tc>
          <w:tcPr>
            <w:tcW w:type="dxa" w:w="2664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-18.5% relative</w:t>
            </w:r>
          </w:p>
        </w:tc>
      </w:tr>
      <w:tr>
        <w:tc>
          <w:tcPr>
            <w:tcW w:type="dxa" w:w="2664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GSC average position</w:t>
            </w:r>
          </w:p>
        </w:tc>
        <w:tc>
          <w:tcPr>
            <w:tcW w:type="dxa" w:w="2664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9.35</w:t>
            </w:r>
          </w:p>
        </w:tc>
        <w:tc>
          <w:tcPr>
            <w:tcW w:type="dxa" w:w="2664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11.65</w:t>
            </w:r>
          </w:p>
        </w:tc>
        <w:tc>
          <w:tcPr>
            <w:tcW w:type="dxa" w:w="2664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Improved 2.30 positions</w:t>
            </w:r>
          </w:p>
        </w:tc>
      </w:tr>
      <w:tr>
        <w:tc>
          <w:tcPr>
            <w:tcW w:type="dxa" w:w="2664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GA4 Organic sessions</w:t>
            </w:r>
          </w:p>
        </w:tc>
        <w:tc>
          <w:tcPr>
            <w:tcW w:type="dxa" w:w="2664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161,731</w:t>
            </w:r>
          </w:p>
        </w:tc>
        <w:tc>
          <w:tcPr>
            <w:tcW w:type="dxa" w:w="2664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317,931</w:t>
            </w:r>
          </w:p>
        </w:tc>
        <w:tc>
          <w:tcPr>
            <w:tcW w:type="dxa" w:w="2664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-49.1%</w:t>
            </w:r>
          </w:p>
        </w:tc>
      </w:tr>
      <w:tr>
        <w:tc>
          <w:tcPr>
            <w:tcW w:type="dxa" w:w="2664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GA4 Organic revenue</w:t>
            </w:r>
          </w:p>
        </w:tc>
        <w:tc>
          <w:tcPr>
            <w:tcW w:type="dxa" w:w="2664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₹5.19M</w:t>
            </w:r>
          </w:p>
        </w:tc>
        <w:tc>
          <w:tcPr>
            <w:tcW w:type="dxa" w:w="2664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₹19.22M</w:t>
            </w:r>
          </w:p>
        </w:tc>
        <w:tc>
          <w:tcPr>
            <w:tcW w:type="dxa" w:w="2664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-73.0%</w:t>
            </w:r>
          </w:p>
        </w:tc>
      </w:tr>
      <w:tr>
        <w:tc>
          <w:tcPr>
            <w:tcW w:type="dxa" w:w="2664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GA4 Organic purchases</w:t>
            </w:r>
          </w:p>
        </w:tc>
        <w:tc>
          <w:tcPr>
            <w:tcW w:type="dxa" w:w="2664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2,333</w:t>
            </w:r>
          </w:p>
        </w:tc>
        <w:tc>
          <w:tcPr>
            <w:tcW w:type="dxa" w:w="2664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9,025</w:t>
            </w:r>
          </w:p>
        </w:tc>
        <w:tc>
          <w:tcPr>
            <w:tcW w:type="dxa" w:w="2664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-74.2%</w:t>
            </w:r>
          </w:p>
        </w:tc>
      </w:tr>
    </w:tbl>
    <w:p>
      <w:pPr>
        <w:pStyle w:val="Heading1"/>
      </w:pPr>
      <w:r>
        <w:rPr>
          <w:color w:val="173A57"/>
        </w:rPr>
        <w:t>Priority findings and action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  <w:shd w:fill="173A57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332"/>
            <w:shd w:fill="173A57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Issue</w:t>
            </w:r>
          </w:p>
        </w:tc>
        <w:tc>
          <w:tcPr>
            <w:tcW w:type="dxa" w:w="1332"/>
            <w:shd w:fill="173A57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Data source</w:t>
            </w:r>
          </w:p>
        </w:tc>
        <w:tc>
          <w:tcPr>
            <w:tcW w:type="dxa" w:w="1332"/>
            <w:shd w:fill="173A57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Affected URLs</w:t>
            </w:r>
          </w:p>
        </w:tc>
        <w:tc>
          <w:tcPr>
            <w:tcW w:type="dxa" w:w="1332"/>
            <w:shd w:fill="173A57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Current data</w:t>
            </w:r>
          </w:p>
        </w:tc>
        <w:tc>
          <w:tcPr>
            <w:tcW w:type="dxa" w:w="1332"/>
            <w:shd w:fill="173A57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SEO impact</w:t>
            </w:r>
          </w:p>
        </w:tc>
        <w:tc>
          <w:tcPr>
            <w:tcW w:type="dxa" w:w="1332"/>
            <w:shd w:fill="173A57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332"/>
            <w:shd w:fill="173A57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Recommended fix</w:t>
            </w:r>
          </w:p>
        </w:tc>
      </w:tr>
      <w:tr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Organic performance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Visibility and traffic decline despite better rankings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GSC + GA4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Sitewide; especially / and /collections/men-jeans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Clicks -50.5%; sessions -49.1%; position improved 11.65→9.35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Major demand/CTR and revenue risk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Segment queries/pages by brand vs non-brand and device; refresh priority commercial hubs first; measure weekly impressions, CTR, sessions and revenue.</w:t>
            </w:r>
          </w:p>
        </w:tc>
      </w:tr>
      <w:tr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CTR opportunity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High-impression terms rank 4–10 with extremely low CTR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GSC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Relevant category hubs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“trousers for men”: 137,285 impr., pos. 6.78, 0.40% CTR; “black jeans for women”: 120,915, pos. 7.66, 0.10% CTR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Large low-effort click upside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Map each term to one canonical category, rewrite title/meta/H1 and strengthen category copy, product assortment cues and internal links; test SERP snippets.</w:t>
            </w:r>
          </w:p>
        </w:tc>
      </w:tr>
      <w:tr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Ranking opportunity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High-volume commercial terms remain outside top 10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GSC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Women jeans, cargo, men jeans hubs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“jeans for women” pos. 13.48; “jeans for men” pos. 12.95; “cargo pants for men” pos. 10.64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Recoverable non-brand demand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Expand corresponding collection pages around fit, style, material and use-case intent; add contextual links from relevant blogs/navigation.</w:t>
            </w:r>
          </w:p>
        </w:tc>
      </w:tr>
      <w:tr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Commercial landing pages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Men Jeans traffic loss is commercially material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GSC + GA4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/collections/men-jeans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GSC clicks -21,929; GA4 sessions -20,533; 203 purchases / ₹503k current period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High-revenue category loss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Run page/query mapping, compare lost terms, check filters/canonical/stock availability, then refresh on-page copy and internal-link prominence.</w:t>
            </w:r>
          </w:p>
        </w:tc>
      </w:tr>
      <w:tr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Measurement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GA4 landing page attribution gap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GA4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(not set)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3,895 Organic sessions; 1.6% engagement; zero purchases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Obscures SEO landing-page diagnosis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Audit GA4 page_view/landing-page capture, consent mode and server-side/client-side tagging; validate in DebugView before reporting page-level conversion rates.</w:t>
            </w:r>
          </w:p>
        </w:tc>
      </w:tr>
      <w:tr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Sitemap/indexation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Sitemap reports zero indexed URLs in the returned sitemap row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GSC + live sitemap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https://spykar.com/sitemap.xml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4,872 web URLs submitted; 0 indexed; 0 errors/warnings; index downloaded 15 Aug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Potential reporting or index-coverage issue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Do not assume deindexation: inspect representative home, category, product and blog URLs in GSC; compare Page Indexing totals and child-sitemap data.</w:t>
            </w:r>
          </w:p>
        </w:tc>
      </w:tr>
      <w:tr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Metadata / duplicate risk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Repeated generic category descriptions visible in URL inventory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Firecrawl URL inventory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Multiple collection pages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Several collection pages share the same generic “Welcome to our world…” description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Weak relevance and CTR differentiation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Crawl all indexable collection pages; deduplicate titles/descriptions and prioritise pages with GSC impressions.</w:t>
            </w:r>
          </w:p>
        </w:tc>
      </w:tr>
      <w:tr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Site architecture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Duplicate/near-duplicate route candidates need canonical review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Firecrawl URL inventory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/pages/faq and /pages/faqs; /a/storelocator and /pages/store-locator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Both route variants discovered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Possible duplication/canonical ambiguity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Check final status, canonical, internal-link targets and GSC index state; retain one canonical route per intent and 301 obsolete duplicates when appropriate.</w:t>
            </w:r>
          </w:p>
        </w:tc>
      </w:tr>
      <w:tr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Conversion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High-traffic commercial pages record no purchases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GA4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/collections/men-trousers-joggers; /collections/check-shirt-for-men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1,595 and 1,222 Organic sessions respectively; 0 purchases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Commercial leakage or tracking gap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QA availability, filtering, price/promotion, add-to-cart and event capture; compare against product-list conversion baseline.</w:t>
            </w:r>
          </w:p>
        </w:tc>
      </w:tr>
    </w:tbl>
    <w:p>
      <w:pPr>
        <w:pStyle w:val="Heading1"/>
      </w:pPr>
      <w:r>
        <w:rPr>
          <w:color w:val="173A57"/>
        </w:rPr>
        <w:t>Validated technical evidence</w:t>
      </w:r>
    </w:p>
    <w:p>
      <w:pPr>
        <w:pStyle w:val="ListBullet"/>
      </w:pPr>
      <w:r>
        <w:t>Robots.txt returns 200, permits public products/collections/pages/blogs, blocks transactional paths, and declares https://spykar.com/sitemap.xml.</w:t>
      </w:r>
    </w:p>
    <w:p>
      <w:pPr>
        <w:pStyle w:val="ListBullet"/>
      </w:pPr>
      <w:r>
        <w:t>The live sitemap index returns 200 and references product, page, collection, blog and agentic-discovery sitemaps.</w:t>
      </w:r>
    </w:p>
    <w:p>
      <w:pPr>
        <w:pStyle w:val="ListBullet"/>
      </w:pPr>
      <w:r>
        <w:t>Native Firecrawl rendered fetches returned HTTP 200 for the tested home, category, blog and About pages. The homepage metadata is present and the rendered HTML exposes navigational internal links.</w:t>
      </w:r>
    </w:p>
    <w:p>
      <w:pPr>
        <w:pStyle w:val="ListBullet"/>
      </w:pPr>
      <w:r>
        <w:t>Browser-tool and Composio Firecrawl routes were unavailable; therefore, no claim is made about sitewide broken links, redirect chains, complete crawl depth, mobile visual defects, console errors, or exhaustive schema validation.</w:t>
      </w:r>
    </w:p>
    <w:p>
      <w:pPr>
        <w:pStyle w:val="Heading1"/>
      </w:pPr>
      <w:r>
        <w:rPr>
          <w:color w:val="173A57"/>
        </w:rPr>
        <w:t>Quick wins: 0–30 days</w:t>
      </w:r>
    </w:p>
    <w:p>
      <w:pPr>
        <w:pStyle w:val="ListBullet"/>
      </w:pPr>
      <w:r>
        <w:t>Refresh Men Jeans, Men Shirts, Men T-shirts, Women Jeans, Men Trousers/Joggers and Cargo category titles, descriptions, H1s and above-the-fold copy against their mapped query clusters.</w:t>
      </w:r>
    </w:p>
    <w:p>
      <w:pPr>
        <w:pStyle w:val="ListBullet"/>
      </w:pPr>
      <w:r>
        <w:t>Fix GA4 landing-page attribution before using page-level conversion findings for investment decisions.</w:t>
      </w:r>
    </w:p>
    <w:p>
      <w:pPr>
        <w:pStyle w:val="ListBullet"/>
      </w:pPr>
      <w:r>
        <w:t>Use GSC URL Inspection for the homepage, men-jeans, women-jeans, a representative product and a representative blog; document canonical, crawl and index verdicts.</w:t>
      </w:r>
    </w:p>
    <w:p>
      <w:pPr>
        <w:pStyle w:val="ListBullet"/>
      </w:pPr>
      <w:r>
        <w:t>Create a duplicate-route register for FAQ and store-locator variants, then correct internal links and canonicals/redirects after validation.</w:t>
      </w:r>
    </w:p>
    <w:p>
      <w:pPr>
        <w:pStyle w:val="Heading1"/>
      </w:pPr>
      <w:r>
        <w:rPr>
          <w:color w:val="173A57"/>
        </w:rPr>
        <w:t>30–60 and 60–90 day plan</w:t>
      </w:r>
    </w:p>
    <w:p>
      <w:pPr>
        <w:pStyle w:val="ListBullet"/>
      </w:pPr>
      <w:r>
        <w:t>30–60 days: establish category-to-query ownership; prevent cannibalisation; add curated editorial links into priority collections; assess product availability and filter/index rules.</w:t>
      </w:r>
    </w:p>
    <w:p>
      <w:pPr>
        <w:pStyle w:val="ListBullet"/>
      </w:pPr>
      <w:r>
        <w:t>60–90 days: complete a full Screaming Frog or equivalent crawl, validate Core Web Vitals by mobile/desktop field data, audit structured data and expand category-supporting content where demand warrants.</w:t>
      </w:r>
    </w:p>
    <w:p>
      <w:pPr>
        <w:pStyle w:val="Heading1"/>
      </w:pPr>
      <w:r>
        <w:rPr>
          <w:color w:val="173A57"/>
        </w:rPr>
        <w:t>Scope and evidence notes</w:t>
      </w:r>
    </w:p>
    <w:p>
      <w:r>
        <w:t>This is a partial technical audit using native Firecrawl, GSC and GA4. GSC uses the verified https://spykar.com/ property; GA4 uses www.spykar.com - GA4 (properties/320857986). The audit does not claim a sitewide crawl pass because the configured brokered crawl/browser services were unavailable. All recommendations require post-release verification.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