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BE6186C" w14:textId="6D26B6E0" w:rsidR="009F70D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66362" w:history="1">
            <w:r w:rsidR="009F70DB" w:rsidRPr="00534E9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osFinancials5.1.0.127 - Known issues</w:t>
            </w:r>
            <w:r w:rsidR="009F70DB">
              <w:rPr>
                <w:noProof/>
                <w:webHidden/>
              </w:rPr>
              <w:tab/>
            </w:r>
            <w:r w:rsidR="009F70DB">
              <w:rPr>
                <w:noProof/>
                <w:webHidden/>
              </w:rPr>
              <w:fldChar w:fldCharType="begin"/>
            </w:r>
            <w:r w:rsidR="009F70DB">
              <w:rPr>
                <w:noProof/>
                <w:webHidden/>
              </w:rPr>
              <w:instrText xml:space="preserve"> PAGEREF _Toc167766362 \h </w:instrText>
            </w:r>
            <w:r w:rsidR="009F70DB">
              <w:rPr>
                <w:noProof/>
                <w:webHidden/>
              </w:rPr>
            </w:r>
            <w:r w:rsidR="009F70DB">
              <w:rPr>
                <w:noProof/>
                <w:webHidden/>
              </w:rPr>
              <w:fldChar w:fldCharType="separate"/>
            </w:r>
            <w:r w:rsidR="009F70DB">
              <w:rPr>
                <w:noProof/>
                <w:webHidden/>
              </w:rPr>
              <w:t>1</w:t>
            </w:r>
            <w:r w:rsidR="009F70DB">
              <w:rPr>
                <w:noProof/>
                <w:webHidden/>
              </w:rPr>
              <w:fldChar w:fldCharType="end"/>
            </w:r>
          </w:hyperlink>
        </w:p>
        <w:p w14:paraId="7543E064" w14:textId="719F48D4" w:rsidR="009F70DB" w:rsidRDefault="009F70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3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Search (Central search) Description Inaccuracies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5197" w14:textId="21B529C3" w:rsidR="009F70DB" w:rsidRDefault="009F70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4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type descriptions is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F208" w14:textId="00D7F6DA" w:rsidR="009F70DB" w:rsidRDefault="009F70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5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BOM (Production) Document groups / Transactions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177D" w14:textId="58B5DBD3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6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BOM (Production) Document Groups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F68B" w14:textId="624481CE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7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BOM (Production) 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0E0E" w14:textId="75DCABC9" w:rsidR="009F70DB" w:rsidRDefault="009F70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8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Viewing Posted Documents for BOM (Production)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2DF0" w14:textId="69FD60E6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69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Opening a Posted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3DF5" w14:textId="6E332709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0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Identifying the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BDD0" w14:textId="70DC6605" w:rsidR="009F70DB" w:rsidRDefault="009F70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1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Print a Posted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BE49" w14:textId="637CBA76" w:rsidR="009F70DB" w:rsidRDefault="009F70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2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Viewing BOM (Production)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DBAC" w14:textId="78F3DDCA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3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Ledger transactions - BOM (Production) Contra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3792" w14:textId="492B5424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4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Batch type report - Posted batch - BOM (Production) Batch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8698" w14:textId="4197A858" w:rsidR="009F70DB" w:rsidRDefault="009F70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5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Example : Batch type report - Posted batch report - Disassemble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7C04" w14:textId="2253C9E1" w:rsidR="009F70DB" w:rsidRDefault="009F70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766376" w:history="1">
            <w:r w:rsidRPr="00534E9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T-Account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6688D8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2A30809" w14:textId="77777777" w:rsidR="00A92693" w:rsidRDefault="00A92693" w:rsidP="00A92693"/>
    <w:p w14:paraId="584E4C15" w14:textId="329DBA97" w:rsidR="005559CB" w:rsidRDefault="00E13AD9" w:rsidP="005559C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766362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osFinancials5.1.0.127 - Known issues</w:t>
      </w:r>
      <w:bookmarkEnd w:id="0"/>
    </w:p>
    <w:p w14:paraId="3DCA87B2" w14:textId="42594915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766363"/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Central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)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Description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Inaccuracies</w:t>
      </w:r>
      <w:bookmarkEnd w:id="1"/>
      <w:proofErr w:type="spellEnd"/>
    </w:p>
    <w:p w14:paraId="1DC498B3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1A22C71F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keywords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as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",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starting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SA</w:t>
      </w:r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433DBDAA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results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display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T-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viewer</w:t>
      </w:r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32A1EE96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094AC371" w14:textId="3649E289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9F70DB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23A1B78B" wp14:editId="27C11B87">
            <wp:extent cx="6645910" cy="3488055"/>
            <wp:effectExtent l="0" t="0" r="2540" b="0"/>
            <wp:docPr id="287856858" name="Pren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7C74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Description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is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follows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560B1CAC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Dissable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e.g.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SA00001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is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as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357C49C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e.g.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SA00002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is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as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591E4B25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Description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Inaccuracy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7A35A64D" w14:textId="77777777" w:rsidR="009F70DB" w:rsidRPr="009F70DB" w:rsidRDefault="009F70DB" w:rsidP="009F70DB">
      <w:pPr>
        <w:pStyle w:val="LysParagraaf"/>
        <w:numPr>
          <w:ilvl w:val="0"/>
          <w:numId w:val="36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Dissable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(e.g., "SA00001").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7739CC55" w14:textId="77777777" w:rsidR="009F70DB" w:rsidRPr="009F70DB" w:rsidRDefault="009F70DB" w:rsidP="009F70DB">
      <w:pPr>
        <w:pStyle w:val="LysParagraaf"/>
        <w:numPr>
          <w:ilvl w:val="0"/>
          <w:numId w:val="36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Conversely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,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are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shown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(e.g., "SA00002").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7F60DC86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Correct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Descriptions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:</w:t>
      </w:r>
    </w:p>
    <w:p w14:paraId="41F9066D" w14:textId="77777777" w:rsidR="009F70DB" w:rsidRPr="009F70DB" w:rsidRDefault="009F70DB" w:rsidP="009F70DB">
      <w:pPr>
        <w:pStyle w:val="LysParagraaf"/>
        <w:numPr>
          <w:ilvl w:val="0"/>
          <w:numId w:val="37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09786648" w14:textId="77777777" w:rsidR="009F70DB" w:rsidRPr="009F70DB" w:rsidRDefault="009F70DB" w:rsidP="009F70DB">
      <w:pPr>
        <w:pStyle w:val="LysParagraaf"/>
        <w:numPr>
          <w:ilvl w:val="0"/>
          <w:numId w:val="37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>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6AF89419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descriptions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consistent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item's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"Document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).</w:t>
      </w:r>
    </w:p>
    <w:p w14:paraId="5D5668E8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766364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Document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descriptions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is 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correct</w:t>
      </w:r>
      <w:bookmarkEnd w:id="2"/>
      <w:proofErr w:type="spellEnd"/>
    </w:p>
    <w:p w14:paraId="570386CA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766365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) Document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groups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/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tabs</w:t>
      </w:r>
      <w:bookmarkEnd w:id="3"/>
      <w:proofErr w:type="spellEnd"/>
    </w:p>
    <w:p w14:paraId="3D56CC8C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items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tab. </w:t>
      </w:r>
    </w:p>
    <w:p w14:paraId="45F1F68B" w14:textId="77777777" w:rsidR="009F70DB" w:rsidRPr="009F70DB" w:rsidRDefault="009F70DB" w:rsidP="009F70DB">
      <w:p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prefix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SA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(e.g.,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SA00001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"),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7-digit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6E8C0A9C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67766366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) Document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Groups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4"/>
      <w:proofErr w:type="spellEnd"/>
    </w:p>
    <w:p w14:paraId="0D7FF3E4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Document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automatically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perform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00BC36FE" w14:textId="2A2BC2A3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E0B1D6D" wp14:editId="7380AAF7">
            <wp:extent cx="6645910" cy="1713230"/>
            <wp:effectExtent l="0" t="0" r="2540" b="1270"/>
            <wp:docPr id="2015069558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547C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55340B50" w14:textId="77777777" w:rsidR="009F70DB" w:rsidRPr="009F70DB" w:rsidRDefault="009F70DB" w:rsidP="009F70DB">
      <w:pPr>
        <w:numPr>
          <w:ilvl w:val="0"/>
          <w:numId w:val="27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it.</w:t>
      </w:r>
    </w:p>
    <w:p w14:paraId="48A2E171" w14:textId="77777777" w:rsidR="009F70DB" w:rsidRPr="009F70DB" w:rsidRDefault="009F70DB" w:rsidP="009F70DB">
      <w:pPr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Open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Open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2BAF7CAD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67766367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)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5"/>
      <w:proofErr w:type="spellEnd"/>
    </w:p>
    <w:p w14:paraId="064EBD69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 items.</w:t>
      </w:r>
    </w:p>
    <w:p w14:paraId="15C52057" w14:textId="0CB47891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B748E7A" wp14:editId="1EE2D836">
            <wp:extent cx="6645910" cy="1814830"/>
            <wp:effectExtent l="0" t="0" r="2540" b="0"/>
            <wp:docPr id="1280222126" name="Prent 15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2126" name="Prent 15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701D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48B7DF74" w14:textId="77777777" w:rsidR="009F70DB" w:rsidRPr="009F70DB" w:rsidRDefault="009F70DB" w:rsidP="009F70DB">
      <w:pPr>
        <w:pStyle w:val="LysParagraaf"/>
        <w:numPr>
          <w:ilvl w:val="0"/>
          <w:numId w:val="3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Open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"Open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51043397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lastRenderedPageBreak/>
        <w:t xml:space="preserve">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instructions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efficiently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review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 items.</w:t>
      </w:r>
    </w:p>
    <w:p w14:paraId="293C0884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7766368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Viewing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for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 Items</w:t>
      </w:r>
      <w:bookmarkEnd w:id="6"/>
    </w:p>
    <w:p w14:paraId="7F1F6F90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7766369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Opening a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</w:t>
      </w:r>
      <w:bookmarkEnd w:id="7"/>
      <w:proofErr w:type="spellEnd"/>
    </w:p>
    <w:p w14:paraId="7407EFAE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BOM (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) 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open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follows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6F82D687" w14:textId="77777777" w:rsidR="009F70DB" w:rsidRPr="009F70DB" w:rsidRDefault="009F70DB" w:rsidP="009F70DB">
      <w:pPr>
        <w:numPr>
          <w:ilvl w:val="0"/>
          <w:numId w:val="35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Right-click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desired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096CDDAD" w14:textId="77777777" w:rsidR="009F70DB" w:rsidRPr="009F70DB" w:rsidRDefault="009F70DB" w:rsidP="009F70DB">
      <w:pPr>
        <w:numPr>
          <w:ilvl w:val="0"/>
          <w:numId w:val="35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"Open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menu.</w:t>
      </w:r>
    </w:p>
    <w:p w14:paraId="3080E73A" w14:textId="639B4A21" w:rsidR="009F70DB" w:rsidRPr="009F70DB" w:rsidRDefault="009F70DB" w:rsidP="009F70DB">
      <w:pPr>
        <w:autoSpaceDE w:val="0"/>
        <w:autoSpaceDN w:val="0"/>
        <w:adjustRightInd w:val="0"/>
        <w:spacing w:after="120" w:line="360" w:lineRule="auto"/>
        <w:ind w:left="240"/>
        <w:rPr>
          <w:rFonts w:ascii="Arial" w:hAnsi="Arial" w:cs="Arial"/>
          <w:sz w:val="24"/>
          <w:szCs w:val="24"/>
          <w:lang w:val="x-none"/>
        </w:rPr>
      </w:pPr>
      <w:r w:rsidRPr="009F70DB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218ABAC9" wp14:editId="3C2B48F9">
            <wp:extent cx="6645910" cy="4047490"/>
            <wp:effectExtent l="0" t="0" r="2540" b="0"/>
            <wp:docPr id="382302770" name="Pren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6A72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7766370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Identifying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the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Document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type</w:t>
      </w:r>
      <w:bookmarkEnd w:id="8"/>
      <w:proofErr w:type="spellEnd"/>
    </w:p>
    <w:p w14:paraId="3B87711B" w14:textId="77777777" w:rsidR="009F70DB" w:rsidRPr="009F70DB" w:rsidRDefault="009F70DB" w:rsidP="009F70DB">
      <w:pPr>
        <w:numPr>
          <w:ilvl w:val="0"/>
          <w:numId w:val="3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Description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"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indicate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whether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was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 items.</w:t>
      </w:r>
    </w:p>
    <w:p w14:paraId="560ADC8B" w14:textId="77777777" w:rsidR="009F70DB" w:rsidRPr="009F70DB" w:rsidRDefault="009F70DB" w:rsidP="009F70DB">
      <w:pPr>
        <w:numPr>
          <w:ilvl w:val="0"/>
          <w:numId w:val="38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functions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prefix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"SA"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(e.g., "SA00001"),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7-digit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format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79BBA220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 xml:space="preserve">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steps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easily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access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identify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related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 items.</w:t>
      </w:r>
    </w:p>
    <w:p w14:paraId="2E479977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7766371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Print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a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Posted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bookmarkEnd w:id="9"/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0BD73D2E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 of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items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5B52C41C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BOM (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)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-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: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).</w:t>
      </w:r>
    </w:p>
    <w:p w14:paraId="113A3B12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 of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 items.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).</w:t>
      </w:r>
    </w:p>
    <w:p w14:paraId="01F8CD4D" w14:textId="444E8B73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9F70DB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622C6A0A" wp14:editId="7F8D56CC">
            <wp:extent cx="6645910" cy="4473575"/>
            <wp:effectExtent l="0" t="0" r="2540" b="3175"/>
            <wp:docPr id="433585352" name="Prent 13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5352" name="Prent 13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B972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POS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Tax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system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time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stamp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operating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system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actual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tbl>
      <w:tblPr>
        <w:tblW w:w="5000" w:type="pct"/>
        <w:tblCellSpacing w:w="15" w:type="dxa"/>
        <w:tblInd w:w="-8" w:type="dxa"/>
        <w:tblBorders>
          <w:top w:val="single" w:sz="6" w:space="0" w:color="DDCEF2"/>
          <w:left w:val="single" w:sz="6" w:space="0" w:color="DDCEF2"/>
          <w:bottom w:val="single" w:sz="6" w:space="0" w:color="DDCEF2"/>
          <w:right w:val="single" w:sz="6" w:space="0" w:color="DDCEF2"/>
          <w:insideH w:val="single" w:sz="6" w:space="0" w:color="DDCEF2"/>
          <w:insideV w:val="single" w:sz="6" w:space="0" w:color="DDCEF2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06"/>
        <w:gridCol w:w="9744"/>
      </w:tblGrid>
      <w:tr w:rsidR="009F70DB" w:rsidRPr="009F70DB" w14:paraId="19432E46" w14:textId="77777777">
        <w:trPr>
          <w:tblCellSpacing w:w="15" w:type="dxa"/>
        </w:trPr>
        <w:tc>
          <w:tcPr>
            <w:tcW w:w="1095" w:type="dxa"/>
            <w:tcBorders>
              <w:right w:val="nil"/>
            </w:tcBorders>
            <w:shd w:val="clear" w:color="auto" w:fill="FAF5FF"/>
          </w:tcPr>
          <w:p w14:paraId="3B1F2647" w14:textId="507690E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5CECE43D" wp14:editId="2B6B5A5E">
                  <wp:extent cx="304800" cy="304800"/>
                  <wp:effectExtent l="0" t="0" r="0" b="0"/>
                  <wp:docPr id="1450455852" name="Prent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5" w:type="dxa"/>
            <w:tcBorders>
              <w:left w:val="nil"/>
            </w:tcBorders>
            <w:shd w:val="clear" w:color="auto" w:fill="FAF5FF"/>
            <w:vAlign w:val="center"/>
          </w:tcPr>
          <w:p w14:paraId="350C56CC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default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which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will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be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used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to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print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generated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by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 of BOM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) items, is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point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-of-sale"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selected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Setup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 xml:space="preserve">→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setup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</w:p>
          <w:p w14:paraId="356AA441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WARNING</w:t>
            </w:r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Point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-of-sale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layouts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might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not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be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ideal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printing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and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documents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BOM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) item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types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due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to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:</w:t>
            </w:r>
          </w:p>
          <w:p w14:paraId="572C2AC7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Date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POS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invoices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show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your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system's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date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not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actual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processing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date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.</w:t>
            </w:r>
          </w:p>
          <w:p w14:paraId="5471F3FA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Document Name</w:t>
            </w:r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Might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say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"POS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Tax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Invoice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instead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something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relevant.</w:t>
            </w:r>
          </w:p>
          <w:p w14:paraId="32A995F0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Footer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Contains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data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like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cashup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amounts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not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relevant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BOM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operations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.</w:t>
            </w:r>
          </w:p>
          <w:p w14:paraId="2EE9E30B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Recommendation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Select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a different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BOM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)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transactions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(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Setup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 xml:space="preserve"> →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Documents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setup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).</w:t>
            </w:r>
          </w:p>
          <w:p w14:paraId="5DB7E214" w14:textId="12050DC1" w:rsidR="009F70DB" w:rsidRPr="009F70DB" w:rsidRDefault="009F70DB" w:rsidP="009F70DB">
            <w:pPr>
              <w:autoSpaceDE w:val="0"/>
              <w:autoSpaceDN w:val="0"/>
              <w:adjustRightInd w:val="0"/>
              <w:spacing w:before="105" w:after="105" w:line="360" w:lineRule="auto"/>
              <w:ind w:left="360" w:hanging="360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noProof/>
                <w:color w:val="000000"/>
                <w:sz w:val="20"/>
                <w:szCs w:val="20"/>
                <w:lang w:val="x-none"/>
              </w:rPr>
              <w:lastRenderedPageBreak/>
              <w:drawing>
                <wp:inline distT="0" distB="0" distL="0" distR="0" wp14:anchorId="06FCD380" wp14:editId="366855B8">
                  <wp:extent cx="6055360" cy="3819170"/>
                  <wp:effectExtent l="0" t="0" r="2540" b="0"/>
                  <wp:docPr id="1305623716" name="Prent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81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9053C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NOTE</w:t>
            </w: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Selecting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which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supports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"TYPES.SDESCRIPTION"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name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from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"TYPES"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will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print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name as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Delivery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note"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option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Remittance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option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Selecting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following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will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replicate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names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</w:t>
            </w:r>
          </w:p>
          <w:p w14:paraId="41FAC52F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(TRN_1910)</w:t>
            </w:r>
          </w:p>
          <w:p w14:paraId="4C6B759D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(TRN_3174)</w:t>
            </w:r>
          </w:p>
          <w:p w14:paraId="518BE432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(15codes) - (TRN_906277)</w:t>
            </w:r>
          </w:p>
          <w:p w14:paraId="7EBE3C09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NO-TAX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(TRN_906589)</w:t>
            </w:r>
          </w:p>
          <w:p w14:paraId="6312185C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NO-TAX Document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(TRN_906590)</w:t>
            </w:r>
          </w:p>
          <w:p w14:paraId="483D5B43" w14:textId="77777777" w:rsidR="009F70DB" w:rsidRPr="009F70DB" w:rsidRDefault="009F70DB" w:rsidP="009F70DB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NO-TAX Document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(15codes) - (TRN_906591)</w:t>
            </w:r>
          </w:p>
          <w:p w14:paraId="74E2EB02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Recommendation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select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BOM (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)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file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(TRN_3266)</w:t>
            </w:r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Stock item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to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print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layout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files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generated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during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Assembly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Disassembly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". </w:t>
            </w:r>
          </w:p>
          <w:p w14:paraId="405EAB7B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Document </w:t>
            </w: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prefix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"</w:t>
            </w:r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SA</w:t>
            </w:r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(e.g., "SA00001"),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with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a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similar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7-digit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format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0AE55BFD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Example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1C06A545" w14:textId="2A287E64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noProof/>
                <w:sz w:val="20"/>
                <w:szCs w:val="20"/>
                <w:lang w:val="x-none"/>
              </w:rPr>
              <w:lastRenderedPageBreak/>
              <w:drawing>
                <wp:inline distT="0" distB="0" distL="0" distR="0" wp14:anchorId="2C4A9916" wp14:editId="0729F9B5">
                  <wp:extent cx="6302242" cy="4535494"/>
                  <wp:effectExtent l="0" t="0" r="3810" b="0"/>
                  <wp:docPr id="1924260538" name="Prent 10" descr="'n Foto wat teks, skermskoot, skerm, nommer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260538" name="Prent 10" descr="'n Foto wat teks, skermskoot, skerm, nommer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2986" cy="453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F0FEC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Example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6512B1FD" w14:textId="4EDB74F1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noProof/>
                <w:sz w:val="20"/>
                <w:szCs w:val="20"/>
                <w:lang w:val="x-none"/>
              </w:rPr>
              <w:drawing>
                <wp:inline distT="0" distB="0" distL="0" distR="0" wp14:anchorId="44DFB4B0" wp14:editId="1EAE68E4">
                  <wp:extent cx="6074261" cy="4394640"/>
                  <wp:effectExtent l="0" t="0" r="3175" b="6350"/>
                  <wp:docPr id="1389559840" name="Pren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05" cy="4394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2F478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766372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Viewing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)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Transactions</w:t>
      </w:r>
      <w:bookmarkEnd w:id="10"/>
      <w:proofErr w:type="spellEnd"/>
    </w:p>
    <w:p w14:paraId="26796C8C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items are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"BOM (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) Contra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 as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configured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Information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1B45FF3E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recorded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viewed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through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various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tools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Here’s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10A26FE5" w14:textId="77777777" w:rsidR="009F70DB" w:rsidRPr="009F70DB" w:rsidRDefault="009F70DB" w:rsidP="009F70DB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Menu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navigate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Ledger →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:</w:t>
      </w:r>
    </w:p>
    <w:p w14:paraId="42AB67DA" w14:textId="77777777" w:rsidR="009F70DB" w:rsidRPr="009F70DB" w:rsidRDefault="009F70DB" w:rsidP="009F70DB">
      <w:pPr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</w:p>
    <w:p w14:paraId="44BBF0DC" w14:textId="77777777" w:rsidR="009F70DB" w:rsidRPr="009F70DB" w:rsidRDefault="009F70DB" w:rsidP="009F70DB">
      <w:pPr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Standard</w:t>
      </w:r>
    </w:p>
    <w:p w14:paraId="7913F984" w14:textId="77777777" w:rsidR="009F70DB" w:rsidRPr="009F70DB" w:rsidRDefault="009F70DB" w:rsidP="009F70DB">
      <w:pPr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Extra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details </w:t>
      </w:r>
    </w:p>
    <w:p w14:paraId="0E5835BE" w14:textId="77777777" w:rsidR="009F70DB" w:rsidRPr="009F70DB" w:rsidRDefault="009F70DB" w:rsidP="009F70DB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entry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Cost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Sales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journal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Open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entry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F2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batches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69126601" w14:textId="77777777" w:rsidR="009F70DB" w:rsidRPr="009F70DB" w:rsidRDefault="009F70DB" w:rsidP="009F70DB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T-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Viewer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: Access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T-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viewer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BOM (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) Contra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".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allows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01E0261C" w14:textId="77777777" w:rsidR="009F70DB" w:rsidRPr="009F70DB" w:rsidRDefault="009F70DB" w:rsidP="009F70DB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Ledger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Analyser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Alternatively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Trial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Balance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Ledger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Analyser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1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Ledger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Analyser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2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desired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detailed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0F22A950" w14:textId="77777777" w:rsidR="009F70DB" w:rsidRPr="009F70DB" w:rsidRDefault="009F70DB" w:rsidP="009F70DB">
      <w:pPr>
        <w:numPr>
          <w:ilvl w:val="0"/>
          <w:numId w:val="34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Central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locate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results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display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T-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viewer.</w:t>
      </w:r>
    </w:p>
    <w:p w14:paraId="3FC60AD4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1" w:name="_Toc167766373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Ledger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) Contra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</w:t>
      </w:r>
      <w:bookmarkEnd w:id="11"/>
      <w:proofErr w:type="spellEnd"/>
    </w:p>
    <w:p w14:paraId="2B9A2A4E" w14:textId="23EE124A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F70D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552399A8" wp14:editId="1785BC0A">
            <wp:extent cx="6645910" cy="2541905"/>
            <wp:effectExtent l="0" t="0" r="2540" b="0"/>
            <wp:docPr id="1260953643" name="Prent 8" descr="'n Foto wat teks, nommer, lyn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53643" name="Prent 8" descr="'n Foto wat teks, nommer, lyn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Ind w:w="-8" w:type="dxa"/>
        <w:tblBorders>
          <w:top w:val="single" w:sz="6" w:space="0" w:color="DDCEF2"/>
          <w:left w:val="single" w:sz="6" w:space="0" w:color="DDCEF2"/>
          <w:bottom w:val="single" w:sz="6" w:space="0" w:color="DDCEF2"/>
          <w:right w:val="single" w:sz="6" w:space="0" w:color="DDCEF2"/>
          <w:insideH w:val="single" w:sz="6" w:space="0" w:color="DDCEF2"/>
          <w:insideV w:val="single" w:sz="6" w:space="0" w:color="DDCEF2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06"/>
        <w:gridCol w:w="9744"/>
      </w:tblGrid>
      <w:tr w:rsidR="009F70DB" w:rsidRPr="009F70DB" w14:paraId="126B08C9" w14:textId="77777777">
        <w:trPr>
          <w:tblCellSpacing w:w="15" w:type="dxa"/>
        </w:trPr>
        <w:tc>
          <w:tcPr>
            <w:tcW w:w="1095" w:type="dxa"/>
            <w:tcBorders>
              <w:right w:val="nil"/>
            </w:tcBorders>
            <w:shd w:val="clear" w:color="auto" w:fill="FAF5FF"/>
          </w:tcPr>
          <w:p w14:paraId="5455AA28" w14:textId="04368864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66FF"/>
                <w:lang w:val="x-none"/>
              </w:rPr>
            </w:pPr>
            <w:r w:rsidRPr="009F70DB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66FF"/>
                <w:lang w:val="x-none"/>
              </w:rPr>
              <w:drawing>
                <wp:inline distT="0" distB="0" distL="0" distR="0" wp14:anchorId="51CA9414" wp14:editId="03DB0409">
                  <wp:extent cx="304800" cy="304800"/>
                  <wp:effectExtent l="0" t="0" r="0" b="0"/>
                  <wp:docPr id="5691286" name="Pren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5" w:type="dxa"/>
            <w:tcBorders>
              <w:left w:val="nil"/>
            </w:tcBorders>
            <w:shd w:val="clear" w:color="auto" w:fill="FAF5FF"/>
            <w:vAlign w:val="center"/>
          </w:tcPr>
          <w:p w14:paraId="756DA6BB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BOM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) -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and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options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will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automatically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generate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transactions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,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which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is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posted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to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ledger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. </w:t>
            </w:r>
          </w:p>
          <w:p w14:paraId="0AA24AD9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lastRenderedPageBreak/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Document no.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a BOM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Production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) -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and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options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is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automatically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generated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as a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seven-digit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number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(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consisting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of a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prefix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r w:rsidRPr="009F70DB">
              <w:rPr>
                <w:rFonts w:ascii="Segoe UI" w:hAnsi="Segoe UI" w:cs="Segoe UI"/>
                <w:b/>
                <w:bCs/>
                <w:i/>
                <w:iCs/>
                <w:color w:val="000000"/>
                <w:sz w:val="20"/>
                <w:szCs w:val="20"/>
                <w:lang w:val="x-none"/>
              </w:rPr>
              <w:t>SA</w:t>
            </w:r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followed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by 5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numerical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digits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).</w:t>
            </w:r>
          </w:p>
          <w:p w14:paraId="0F1E2480" w14:textId="77777777" w:rsidR="009F70DB" w:rsidRPr="009F70DB" w:rsidRDefault="009F70DB" w:rsidP="009F70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</w:pP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The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Document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type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is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" 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or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 xml:space="preserve"> "</w:t>
            </w:r>
            <w:proofErr w:type="spellStart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Disassemble</w:t>
            </w:r>
            <w:proofErr w:type="spellEnd"/>
            <w:r w:rsidRPr="009F70DB">
              <w:rPr>
                <w:rFonts w:ascii="Segoe UI" w:hAnsi="Segoe UI" w:cs="Segoe UI"/>
                <w:i/>
                <w:iCs/>
                <w:color w:val="000000"/>
                <w:sz w:val="20"/>
                <w:szCs w:val="20"/>
                <w:lang w:val="x-none"/>
              </w:rPr>
              <w:t>"</w:t>
            </w:r>
          </w:p>
        </w:tc>
      </w:tr>
    </w:tbl>
    <w:p w14:paraId="2F3CC908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67766374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type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BOM (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Production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)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bookmarkEnd w:id="12"/>
      <w:proofErr w:type="spellEnd"/>
    </w:p>
    <w:p w14:paraId="49F912B8" w14:textId="77777777" w:rsidR="009F70DB" w:rsidRPr="009F70DB" w:rsidRDefault="009F70DB" w:rsidP="009F70DB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 xml:space="preserve">Open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entry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(</w:t>
      </w:r>
      <w:r w:rsidRPr="009F70DB">
        <w:rPr>
          <w:rFonts w:ascii="Segoe UI" w:hAnsi="Segoe UI" w:cs="Segoe UI"/>
          <w:b/>
          <w:bCs/>
          <w:sz w:val="20"/>
          <w:szCs w:val="20"/>
          <w:lang w:val="x-none"/>
        </w:rPr>
        <w:t>F2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.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batches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.</w:t>
      </w:r>
    </w:p>
    <w:p w14:paraId="734FFC60" w14:textId="6925ECC4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39F9922" wp14:editId="020DDEB8">
            <wp:extent cx="6645910" cy="2663190"/>
            <wp:effectExtent l="0" t="0" r="2540" b="3810"/>
            <wp:docPr id="49075747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DF6A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".</w:t>
      </w:r>
    </w:p>
    <w:p w14:paraId="1D34DF1E" w14:textId="1302918E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0DB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CC28D55" wp14:editId="008B9059">
            <wp:extent cx="6645910" cy="1790700"/>
            <wp:effectExtent l="0" t="0" r="2540" b="0"/>
            <wp:docPr id="112464219" name="Prent 5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219" name="Prent 5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542C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lastRenderedPageBreak/>
        <w:t>Example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type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report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Posted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report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Assemble</w:t>
      </w:r>
      <w:proofErr w:type="spellEnd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>transactions</w:t>
      </w:r>
      <w:proofErr w:type="spellEnd"/>
    </w:p>
    <w:p w14:paraId="5A89E065" w14:textId="324E9394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9F70DB">
        <w:rPr>
          <w:rFonts w:ascii="Segoe UI Variable Small" w:hAnsi="Segoe UI Variable Small" w:cs="Segoe UI Variable Small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EB4E9DE" wp14:editId="652E0A50">
            <wp:extent cx="6645910" cy="3640455"/>
            <wp:effectExtent l="0" t="0" r="2540" b="0"/>
            <wp:docPr id="843619913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564F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3" w:name="_Toc167766375"/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Example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: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type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Posted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batch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report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Disassemble</w:t>
      </w:r>
      <w:proofErr w:type="spellEnd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9F70D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bookmarkEnd w:id="13"/>
      <w:proofErr w:type="spellEnd"/>
    </w:p>
    <w:p w14:paraId="1B6609D1" w14:textId="150F09E2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F70DB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0D7CCA62" wp14:editId="5DA16E3D">
            <wp:extent cx="6645910" cy="3589020"/>
            <wp:effectExtent l="0" t="0" r="2540" b="0"/>
            <wp:docPr id="103792524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46CE" w14:textId="77777777" w:rsid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3E737B1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110294D" w14:textId="77777777" w:rsidR="009F70DB" w:rsidRPr="009F70DB" w:rsidRDefault="009F70DB" w:rsidP="009F70D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4" w:name="_Toc167766376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T-</w:t>
      </w:r>
      <w:proofErr w:type="spellStart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Account</w:t>
      </w:r>
      <w:proofErr w:type="spellEnd"/>
      <w:r w:rsidRPr="009F70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viewer</w:t>
      </w:r>
      <w:bookmarkEnd w:id="14"/>
    </w:p>
    <w:p w14:paraId="340D27FF" w14:textId="77777777" w:rsidR="009F70DB" w:rsidRPr="009F70DB" w:rsidRDefault="009F70DB" w:rsidP="009F70DB">
      <w:p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In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addition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transaction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menu;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may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export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T-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viewer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from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following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options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. </w:t>
      </w:r>
    </w:p>
    <w:p w14:paraId="77C41DE0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T-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 viewer 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: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reports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menu,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T-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 viewer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icon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BOM (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 xml:space="preserve">) Contra </w:t>
      </w:r>
      <w:proofErr w:type="spellStart"/>
      <w:r w:rsidRPr="009F70DB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sz w:val="20"/>
          <w:szCs w:val="20"/>
          <w:lang w:val="x-none"/>
        </w:rPr>
        <w:t>"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. </w:t>
      </w:r>
    </w:p>
    <w:p w14:paraId="39BB1C14" w14:textId="77777777" w:rsidR="009F70DB" w:rsidRPr="009F70DB" w:rsidRDefault="009F70DB" w:rsidP="009F70DB">
      <w:pPr>
        <w:numPr>
          <w:ilvl w:val="0"/>
          <w:numId w:val="26"/>
        </w:numPr>
        <w:autoSpaceDE w:val="0"/>
        <w:autoSpaceDN w:val="0"/>
        <w:adjustRightInd w:val="0"/>
        <w:spacing w:before="105" w:after="10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Alternatively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may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Trial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balance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in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Ledger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analyser</w:t>
      </w:r>
      <w:proofErr w:type="spellEnd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 1 / Ledger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analyser</w:t>
      </w:r>
      <w:proofErr w:type="spellEnd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 xml:space="preserve"> 2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and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double-click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use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>Show</w:t>
      </w:r>
      <w:proofErr w:type="spellEnd"/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 xml:space="preserve"> details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option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context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menu.</w:t>
      </w:r>
    </w:p>
    <w:p w14:paraId="5A30EEED" w14:textId="4E708720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9F70DB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076CD830" wp14:editId="052D491A">
            <wp:extent cx="6645910" cy="1577975"/>
            <wp:effectExtent l="0" t="0" r="2540" b="3175"/>
            <wp:docPr id="707194576" name="Prent 2" descr="'n Foto wat teks, skermskoot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4576" name="Prent 2" descr="'n Foto wat teks, skermskoot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D4C3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may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filter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by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batch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number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e,g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, "</w:t>
      </w:r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>34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or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 "</w:t>
      </w:r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>35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". </w:t>
      </w:r>
    </w:p>
    <w:p w14:paraId="2BD10E70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Click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button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print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a T-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account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view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of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.</w:t>
      </w:r>
    </w:p>
    <w:p w14:paraId="0E23B11D" w14:textId="6FA1B405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 w:rsidRPr="009F70DB">
        <w:rPr>
          <w:rFonts w:ascii="Segoe UI" w:hAnsi="Segoe UI" w:cs="Segoe UI"/>
          <w:noProof/>
          <w:color w:val="000000"/>
          <w:sz w:val="20"/>
          <w:szCs w:val="20"/>
          <w:lang w:val="x-none"/>
        </w:rPr>
        <w:drawing>
          <wp:inline distT="0" distB="0" distL="0" distR="0" wp14:anchorId="75AE60F5" wp14:editId="355A28B6">
            <wp:extent cx="6645910" cy="2696210"/>
            <wp:effectExtent l="0" t="0" r="2540" b="8890"/>
            <wp:docPr id="330735190" name="Prent 1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35190" name="Prent 1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5186" w14:textId="77777777" w:rsidR="009F70DB" w:rsidRPr="009F70DB" w:rsidRDefault="009F70DB" w:rsidP="009F70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Should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wish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export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these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transactions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a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spreadsheet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click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b/>
          <w:bCs/>
          <w:color w:val="000000"/>
          <w:sz w:val="20"/>
          <w:szCs w:val="20"/>
          <w:lang w:val="x-none"/>
        </w:rPr>
        <w:t>Export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.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If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need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to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include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Contra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accounts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, in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your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spreadsheet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,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select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the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"</w:t>
      </w:r>
      <w:proofErr w:type="spellStart"/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>Show</w:t>
      </w:r>
      <w:proofErr w:type="spellEnd"/>
      <w:r w:rsidRPr="009F70DB">
        <w:rPr>
          <w:rFonts w:ascii="Segoe UI" w:hAnsi="Segoe UI" w:cs="Segoe UI"/>
          <w:i/>
          <w:iCs/>
          <w:color w:val="000000"/>
          <w:sz w:val="20"/>
          <w:szCs w:val="20"/>
          <w:lang w:val="x-none"/>
        </w:rPr>
        <w:t xml:space="preserve"> contra</w:t>
      </w:r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" </w:t>
      </w:r>
      <w:proofErr w:type="spellStart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>option</w:t>
      </w:r>
      <w:proofErr w:type="spellEnd"/>
      <w:r w:rsidRPr="009F70DB">
        <w:rPr>
          <w:rFonts w:ascii="Segoe UI" w:hAnsi="Segoe UI" w:cs="Segoe UI"/>
          <w:color w:val="000000"/>
          <w:sz w:val="20"/>
          <w:szCs w:val="20"/>
          <w:lang w:val="x-none"/>
        </w:rPr>
        <w:t xml:space="preserve"> </w:t>
      </w:r>
    </w:p>
    <w:p w14:paraId="68BE14A7" w14:textId="77777777" w:rsidR="009F70DB" w:rsidRPr="004A4737" w:rsidRDefault="009F70DB" w:rsidP="009F70DB"/>
    <w:sectPr w:rsidR="009F70DB" w:rsidRPr="004A4737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C4C383D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5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8F2F272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8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9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3" w15:restartNumberingAfterBreak="0">
    <w:nsid w:val="55420BA6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4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9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0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1" w15:restartNumberingAfterBreak="0">
    <w:nsid w:val="6E82DC03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2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3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4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85F115D"/>
    <w:multiLevelType w:val="singleLevel"/>
    <w:tmpl w:val="FFFFFFFF"/>
    <w:lvl w:ilvl="0">
      <w:numFmt w:val="bullet"/>
      <w:lvlText w:null="1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7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3"/>
  </w:num>
  <w:num w:numId="3" w16cid:durableId="458259407">
    <w:abstractNumId w:val="3"/>
  </w:num>
  <w:num w:numId="4" w16cid:durableId="109512701">
    <w:abstractNumId w:val="18"/>
  </w:num>
  <w:num w:numId="5" w16cid:durableId="320893008">
    <w:abstractNumId w:val="21"/>
  </w:num>
  <w:num w:numId="6" w16cid:durableId="267859804">
    <w:abstractNumId w:val="16"/>
  </w:num>
  <w:num w:numId="7" w16cid:durableId="1981374273">
    <w:abstractNumId w:val="33"/>
  </w:num>
  <w:num w:numId="8" w16cid:durableId="42215280">
    <w:abstractNumId w:val="24"/>
  </w:num>
  <w:num w:numId="9" w16cid:durableId="983465013">
    <w:abstractNumId w:val="22"/>
  </w:num>
  <w:num w:numId="10" w16cid:durableId="1423532229">
    <w:abstractNumId w:val="28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2"/>
  </w:num>
  <w:num w:numId="14" w16cid:durableId="997809656">
    <w:abstractNumId w:val="15"/>
  </w:num>
  <w:num w:numId="15" w16cid:durableId="829564295">
    <w:abstractNumId w:val="20"/>
  </w:num>
  <w:num w:numId="16" w16cid:durableId="1910724567">
    <w:abstractNumId w:val="11"/>
  </w:num>
  <w:num w:numId="17" w16cid:durableId="511452772">
    <w:abstractNumId w:val="14"/>
  </w:num>
  <w:num w:numId="18" w16cid:durableId="1936203118">
    <w:abstractNumId w:val="27"/>
  </w:num>
  <w:num w:numId="19" w16cid:durableId="1259171134">
    <w:abstractNumId w:val="34"/>
  </w:num>
  <w:num w:numId="20" w16cid:durableId="706876488">
    <w:abstractNumId w:val="30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7"/>
  </w:num>
  <w:num w:numId="24" w16cid:durableId="1762220259">
    <w:abstractNumId w:val="19"/>
  </w:num>
  <w:num w:numId="25" w16cid:durableId="1239513174">
    <w:abstractNumId w:val="25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3"/>
  </w:num>
  <w:num w:numId="29" w16cid:durableId="1638997381">
    <w:abstractNumId w:val="36"/>
  </w:num>
  <w:num w:numId="30" w16cid:durableId="557788985">
    <w:abstractNumId w:val="12"/>
  </w:num>
  <w:num w:numId="31" w16cid:durableId="1482581508">
    <w:abstractNumId w:val="31"/>
  </w:num>
  <w:num w:numId="32" w16cid:durableId="1838109461">
    <w:abstractNumId w:val="17"/>
  </w:num>
  <w:num w:numId="33" w16cid:durableId="386224574">
    <w:abstractNumId w:val="29"/>
  </w:num>
  <w:num w:numId="34" w16cid:durableId="997080086">
    <w:abstractNumId w:val="7"/>
  </w:num>
  <w:num w:numId="35" w16cid:durableId="1362126512">
    <w:abstractNumId w:val="35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4147"/>
    <w:rsid w:val="00162395"/>
    <w:rsid w:val="00180822"/>
    <w:rsid w:val="001D5476"/>
    <w:rsid w:val="001F6310"/>
    <w:rsid w:val="001F6FBC"/>
    <w:rsid w:val="003179DE"/>
    <w:rsid w:val="003332ED"/>
    <w:rsid w:val="003F75BA"/>
    <w:rsid w:val="004A4737"/>
    <w:rsid w:val="0053071C"/>
    <w:rsid w:val="005559CB"/>
    <w:rsid w:val="005920B4"/>
    <w:rsid w:val="005A4D46"/>
    <w:rsid w:val="005D41DB"/>
    <w:rsid w:val="006E148E"/>
    <w:rsid w:val="007656CD"/>
    <w:rsid w:val="007D05F2"/>
    <w:rsid w:val="008646B3"/>
    <w:rsid w:val="008C2B8A"/>
    <w:rsid w:val="009F70DB"/>
    <w:rsid w:val="00A04919"/>
    <w:rsid w:val="00A92693"/>
    <w:rsid w:val="00B77A9D"/>
    <w:rsid w:val="00BC1AAE"/>
    <w:rsid w:val="00C50134"/>
    <w:rsid w:val="00C57F44"/>
    <w:rsid w:val="00CE6E7E"/>
    <w:rsid w:val="00DE3B31"/>
    <w:rsid w:val="00DE7C32"/>
    <w:rsid w:val="00E13AD9"/>
    <w:rsid w:val="00E47290"/>
    <w:rsid w:val="00EA7609"/>
    <w:rsid w:val="00EB1EF5"/>
    <w:rsid w:val="00F724CA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5A4D46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character" w:customStyle="1" w:styleId="Opskrif4Kar">
    <w:name w:val="Opskrif 4 Kar"/>
    <w:basedOn w:val="Verstekparagraaffont"/>
    <w:link w:val="Opskrif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5D41DB"/>
  </w:style>
  <w:style w:type="paragraph" w:styleId="Standaardinkeping">
    <w:name w:val="Normal Indent"/>
    <w:basedOn w:val="Norma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5D41DB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5D41DB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5D41DB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5D41DB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5D41DB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5D41DB"/>
    <w:rPr>
      <w:i/>
      <w:iCs/>
    </w:rPr>
  </w:style>
  <w:style w:type="character" w:styleId="HTML-kode">
    <w:name w:val="HTML Code"/>
    <w:basedOn w:val="Verstekparagraaffont"/>
    <w:uiPriority w:val="99"/>
    <w:rsid w:val="005D41DB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5D41DB"/>
  </w:style>
  <w:style w:type="character" w:styleId="HTML-definisie">
    <w:name w:val="HTML Definition"/>
    <w:basedOn w:val="Verstekparagraaffont"/>
    <w:uiPriority w:val="99"/>
    <w:rsid w:val="005D41DB"/>
    <w:rPr>
      <w:i/>
      <w:iCs/>
    </w:rPr>
  </w:style>
  <w:style w:type="character" w:styleId="HTML-sleutelbord">
    <w:name w:val="HTML Keyboard"/>
    <w:basedOn w:val="Verstekparagraaffont"/>
    <w:uiPriority w:val="99"/>
    <w:rsid w:val="005D41DB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5D41DB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5D41DB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5D41DB"/>
    <w:rPr>
      <w:i/>
      <w:iCs/>
    </w:rPr>
  </w:style>
  <w:style w:type="paragraph" w:styleId="Loopkop">
    <w:name w:val="header"/>
    <w:basedOn w:val="Normaal"/>
    <w:link w:val="LoopkopK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5D41DB"/>
  </w:style>
  <w:style w:type="character" w:styleId="Eindnootverwysing">
    <w:name w:val="endnote reference"/>
    <w:basedOn w:val="Verstekparagraaffont"/>
    <w:uiPriority w:val="99"/>
    <w:rsid w:val="005D41DB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5D41DB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1600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11</cp:revision>
  <dcterms:created xsi:type="dcterms:W3CDTF">2024-01-02T07:18:00Z</dcterms:created>
  <dcterms:modified xsi:type="dcterms:W3CDTF">2024-05-28T03:36:00Z</dcterms:modified>
</cp:coreProperties>
</file>