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7EFF370" w14:textId="04D6BA52" w:rsidR="002F10C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0829" w:history="1">
            <w:r w:rsidR="002F10C4" w:rsidRPr="006F067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Delivery date plugins</w:t>
            </w:r>
            <w:r w:rsidR="002F10C4">
              <w:rPr>
                <w:noProof/>
                <w:webHidden/>
              </w:rPr>
              <w:tab/>
            </w:r>
            <w:r w:rsidR="002F10C4">
              <w:rPr>
                <w:noProof/>
                <w:webHidden/>
              </w:rPr>
              <w:fldChar w:fldCharType="begin"/>
            </w:r>
            <w:r w:rsidR="002F10C4">
              <w:rPr>
                <w:noProof/>
                <w:webHidden/>
              </w:rPr>
              <w:instrText xml:space="preserve"> PAGEREF _Toc167330829 \h </w:instrText>
            </w:r>
            <w:r w:rsidR="002F10C4">
              <w:rPr>
                <w:noProof/>
                <w:webHidden/>
              </w:rPr>
            </w:r>
            <w:r w:rsidR="002F10C4">
              <w:rPr>
                <w:noProof/>
                <w:webHidden/>
              </w:rPr>
              <w:fldChar w:fldCharType="separate"/>
            </w:r>
            <w:r w:rsidR="002F10C4">
              <w:rPr>
                <w:noProof/>
                <w:webHidden/>
              </w:rPr>
              <w:t>1</w:t>
            </w:r>
            <w:r w:rsidR="002F10C4">
              <w:rPr>
                <w:noProof/>
                <w:webHidden/>
              </w:rPr>
              <w:fldChar w:fldCharType="end"/>
            </w:r>
          </w:hyperlink>
        </w:p>
        <w:p w14:paraId="2B5B0733" w14:textId="2257A287" w:rsidR="002F10C4" w:rsidRDefault="002F10C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0830" w:history="1">
            <w:r w:rsidRPr="006F067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Dynareg Delivery date 1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FE80" w14:textId="26A79B99" w:rsidR="002F10C4" w:rsidRDefault="002F10C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0831" w:history="1">
            <w:r w:rsidRPr="006F067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Dynareg Delivery date 2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5F92" w14:textId="62FFC903" w:rsidR="002F10C4" w:rsidRDefault="002F10C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0832" w:history="1">
            <w:r w:rsidRPr="006F067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Dynareg Delivery date 3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5389" w14:textId="41ADDC80" w:rsidR="002F10C4" w:rsidRDefault="002F10C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0833" w:history="1">
            <w:r w:rsidRPr="006F067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Dynareg Delivery date 4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6AF6D08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80CF27D" w14:textId="77777777" w:rsidR="00A94ABC" w:rsidRPr="00A94ABC" w:rsidRDefault="00A94ABC" w:rsidP="00A94AB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0829"/>
      <w:proofErr w:type="spellStart"/>
      <w:r w:rsidRPr="00A94AB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A94AB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Delivery</w:t>
      </w:r>
      <w:proofErr w:type="spellEnd"/>
      <w:r w:rsidRPr="00A94AB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date</w:t>
      </w:r>
      <w:proofErr w:type="spellEnd"/>
      <w:r w:rsidRPr="00A94AB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bookmarkEnd w:id="0"/>
      <w:proofErr w:type="spellEnd"/>
    </w:p>
    <w:p w14:paraId="53BF9E58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is a series of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four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successive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series,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2,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3,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4, offers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ability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osFinancials5.</w:t>
      </w:r>
    </w:p>
    <w:p w14:paraId="792A7640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sz w:val="20"/>
          <w:szCs w:val="20"/>
          <w:lang w:val="x-none"/>
        </w:rPr>
        <w:t xml:space="preserve">By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up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four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offer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significant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flexibility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track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multiple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aspects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schedules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customize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according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requirements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allowing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granular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control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.</w:t>
      </w:r>
    </w:p>
    <w:p w14:paraId="6D075EBF" w14:textId="756910CF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9E2B5CC" wp14:editId="10ED29CB">
            <wp:extent cx="6645910" cy="909320"/>
            <wp:effectExtent l="0" t="0" r="2540" b="5080"/>
            <wp:docPr id="1759680810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BBFF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capability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handle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complex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scenarios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staggered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deliveries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partial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shipments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multiple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stages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effectively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comprehensive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solution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require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detailed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tracking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reporting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various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associated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.</w:t>
      </w:r>
    </w:p>
    <w:p w14:paraId="529B1428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selecting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2261194D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Edit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2145F7D" w14:textId="0156B6C1" w:rsidR="00A94ABC" w:rsidRPr="00A94ABC" w:rsidRDefault="00A94ABC" w:rsidP="00A94AB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9651DAA" wp14:editId="2F58EBB1">
            <wp:extent cx="6645910" cy="1120140"/>
            <wp:effectExtent l="0" t="0" r="2540" b="3810"/>
            <wp:docPr id="111668780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00F2" w14:textId="77777777" w:rsidR="00A94ABC" w:rsidRPr="00A94ABC" w:rsidRDefault="00A94ABC" w:rsidP="00A94AB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.</w:t>
      </w:r>
    </w:p>
    <w:p w14:paraId="2F512925" w14:textId="1B2D63B2" w:rsidR="00A94ABC" w:rsidRPr="00A94ABC" w:rsidRDefault="00A94ABC" w:rsidP="00A94AB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72FD255" wp14:editId="408A7814">
            <wp:extent cx="6645910" cy="1269365"/>
            <wp:effectExtent l="0" t="0" r="2540" b="6985"/>
            <wp:docPr id="1720430023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4A21" w14:textId="77777777" w:rsidR="00A94ABC" w:rsidRPr="00A94ABC" w:rsidRDefault="00A94ABC" w:rsidP="00A94AB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7330830"/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Dynareg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Delivery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1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bookmarkEnd w:id="1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A94ABC" w:rsidRPr="00A94ABC" w14:paraId="67163CBD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4BCBE16" w14:textId="6F47C4A6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A94ABC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60A4DCF8" wp14:editId="5DCBD218">
                  <wp:extent cx="457200" cy="457200"/>
                  <wp:effectExtent l="0" t="0" r="0" b="0"/>
                  <wp:docPr id="51563268" name="Pren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7D5339F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1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792A4E99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Aflever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datum in dokument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regels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5B2513EC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1" 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, (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). </w:t>
      </w:r>
    </w:p>
    <w:p w14:paraId="387A28D7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is also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orders).</w:t>
      </w:r>
    </w:p>
    <w:p w14:paraId="417D8D5B" w14:textId="772902E5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FBE0AFC" wp14:editId="59F06A40">
            <wp:extent cx="6645910" cy="1112520"/>
            <wp:effectExtent l="0" t="0" r="2540" b="0"/>
            <wp:docPr id="182414493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C051" w14:textId="77777777" w:rsidR="00A94ABC" w:rsidRPr="00A94ABC" w:rsidRDefault="00A94ABC" w:rsidP="00A94AB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delevery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33729840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Overall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1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aims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improve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logistics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osFinancials5 by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introducing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features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specifying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tracking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.</w:t>
      </w:r>
    </w:p>
    <w:p w14:paraId="4E47AB43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1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designed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enhance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Specifically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2E820547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is also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orders.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streamlines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tracking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outgoing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incoming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goods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services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.</w:t>
      </w:r>
    </w:p>
    <w:p w14:paraId="4D1149C3" w14:textId="77777777" w:rsidR="00A94ABC" w:rsidRPr="00A94ABC" w:rsidRDefault="00A94ABC" w:rsidP="00A94AB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7330831"/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Dynareg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Delivery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2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bookmarkEnd w:id="2"/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A94ABC" w:rsidRPr="00A94ABC" w14:paraId="2882000C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B4796EE" w14:textId="0BB6C571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A94ABC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28B826D0" wp14:editId="7E76F65C">
                  <wp:extent cx="457200" cy="457200"/>
                  <wp:effectExtent l="0" t="0" r="0" b="0"/>
                  <wp:docPr id="1793045761" name="Prent 4" descr="'n Foto wat wiel, teks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045761" name="Prent 4" descr="'n Foto wat wiel, teks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476012C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2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6E17F795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- 2e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Aflever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datum in dokument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regels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1E489C03" w14:textId="77777777" w:rsidR="00A94ABC" w:rsidRPr="00A94ABC" w:rsidRDefault="00A94ABC" w:rsidP="00A94AB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now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 2nd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combination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indicate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period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between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2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.</w:t>
      </w:r>
    </w:p>
    <w:p w14:paraId="6295D5C9" w14:textId="3AD9FEAC" w:rsidR="00A94ABC" w:rsidRPr="00A94ABC" w:rsidRDefault="00A94ABC" w:rsidP="00A94AB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A94AB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BB5B50E" wp14:editId="36F6F321">
            <wp:extent cx="6645910" cy="1120140"/>
            <wp:effectExtent l="0" t="0" r="2540" b="3810"/>
            <wp:docPr id="858654968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70CA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lastRenderedPageBreak/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2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builds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upon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,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1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 by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enhancement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offers more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flexibility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control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schedules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orders.</w:t>
      </w:r>
    </w:p>
    <w:p w14:paraId="4EEEB705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extends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features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2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orders. By offering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further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streamlines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tracking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outbound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inbound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services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.</w:t>
      </w:r>
    </w:p>
    <w:p w14:paraId="36F01927" w14:textId="77777777" w:rsidR="00A94ABC" w:rsidRPr="00A94ABC" w:rsidRDefault="00A94ABC" w:rsidP="00A94AB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30832"/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Dynareg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Delivery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3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bookmarkEnd w:id="3"/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A94ABC" w:rsidRPr="00A94ABC" w14:paraId="49573DFE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401BAF2" w14:textId="0C47BBBD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A94ABC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44EFBC78" wp14:editId="3C5B0E7E">
                  <wp:extent cx="457200" cy="457200"/>
                  <wp:effectExtent l="0" t="0" r="0" b="0"/>
                  <wp:docPr id="1122118134" name="Pre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16D9E38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3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255BAF0D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Vrijedatum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3"</w:t>
            </w:r>
          </w:p>
        </w:tc>
      </w:tr>
    </w:tbl>
    <w:p w14:paraId="32F222EC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3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builds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upon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,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1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2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enhancement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offers more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flexibility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control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schedules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orders.</w:t>
      </w:r>
    </w:p>
    <w:p w14:paraId="0E3295EC" w14:textId="77777777" w:rsidR="00A94ABC" w:rsidRPr="00A94ABC" w:rsidRDefault="00A94ABC" w:rsidP="00A94AB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30833"/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Dynareg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Delivery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4 </w:t>
      </w:r>
      <w:proofErr w:type="spellStart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bookmarkEnd w:id="4"/>
      <w:proofErr w:type="spellEnd"/>
      <w:r w:rsidRPr="00A94AB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A94ABC" w:rsidRPr="00A94ABC" w14:paraId="5480181C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5AE3E93" w14:textId="30A4BF63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A94ABC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3C1E0E07" wp14:editId="6E0AD546">
                  <wp:extent cx="457200" cy="457200"/>
                  <wp:effectExtent l="0" t="0" r="0" b="0"/>
                  <wp:docPr id="2124757070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8A35DF3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4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E58173B" w14:textId="77777777" w:rsidR="00A94ABC" w:rsidRPr="00A94ABC" w:rsidRDefault="00A94ABC" w:rsidP="00A94AB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A94AB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Vrijedatum</w:t>
            </w:r>
            <w:proofErr w:type="spellEnd"/>
            <w:r w:rsidRPr="00A94AB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4"</w:t>
            </w:r>
          </w:p>
        </w:tc>
      </w:tr>
    </w:tbl>
    <w:p w14:paraId="5129D6AB" w14:textId="77777777" w:rsidR="00A94ABC" w:rsidRPr="00A94ABC" w:rsidRDefault="00A94ABC" w:rsidP="00A94AB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4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builds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upon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three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,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1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>,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2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i/>
          <w:iCs/>
          <w:sz w:val="20"/>
          <w:szCs w:val="20"/>
          <w:lang w:val="x-none"/>
        </w:rPr>
        <w:t xml:space="preserve"> 3</w:t>
      </w:r>
      <w:r w:rsidRPr="00A94AB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enhancement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likely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offers more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flexibility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control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schedules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as in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A94AB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A94ABC">
        <w:rPr>
          <w:rFonts w:ascii="Segoe UI" w:hAnsi="Segoe UI" w:cs="Segoe UI"/>
          <w:sz w:val="20"/>
          <w:szCs w:val="20"/>
          <w:lang w:val="x-none"/>
        </w:rPr>
        <w:t xml:space="preserve"> orders.</w:t>
      </w:r>
    </w:p>
    <w:p w14:paraId="65E2B8E9" w14:textId="77777777" w:rsidR="002A62DA" w:rsidRDefault="002A62DA" w:rsidP="00A27333">
      <w:pPr>
        <w:rPr>
          <w:rFonts w:ascii="Segoe UI" w:hAnsi="Segoe UI" w:cs="Segoe UI"/>
          <w:sz w:val="20"/>
          <w:szCs w:val="20"/>
          <w:lang w:val="x-none"/>
        </w:rPr>
      </w:pPr>
    </w:p>
    <w:sectPr w:rsidR="002A62DA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4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2"/>
  </w:num>
  <w:num w:numId="3" w16cid:durableId="458259407">
    <w:abstractNumId w:val="3"/>
  </w:num>
  <w:num w:numId="4" w16cid:durableId="628585084">
    <w:abstractNumId w:val="16"/>
  </w:num>
  <w:num w:numId="5" w16cid:durableId="1438217324">
    <w:abstractNumId w:val="9"/>
  </w:num>
  <w:num w:numId="6" w16cid:durableId="863785018">
    <w:abstractNumId w:val="4"/>
  </w:num>
  <w:num w:numId="7" w16cid:durableId="924336741">
    <w:abstractNumId w:val="14"/>
  </w:num>
  <w:num w:numId="8" w16cid:durableId="1585145881">
    <w:abstractNumId w:val="18"/>
  </w:num>
  <w:num w:numId="9" w16cid:durableId="1220288230">
    <w:abstractNumId w:val="0"/>
  </w:num>
  <w:num w:numId="10" w16cid:durableId="737560725">
    <w:abstractNumId w:val="7"/>
  </w:num>
  <w:num w:numId="11" w16cid:durableId="1529446011">
    <w:abstractNumId w:val="15"/>
  </w:num>
  <w:num w:numId="12" w16cid:durableId="36853325">
    <w:abstractNumId w:val="20"/>
  </w:num>
  <w:num w:numId="13" w16cid:durableId="920024694">
    <w:abstractNumId w:val="19"/>
  </w:num>
  <w:num w:numId="14" w16cid:durableId="821969903">
    <w:abstractNumId w:val="26"/>
  </w:num>
  <w:num w:numId="15" w16cid:durableId="1321037936">
    <w:abstractNumId w:val="8"/>
  </w:num>
  <w:num w:numId="16" w16cid:durableId="181827317">
    <w:abstractNumId w:val="6"/>
  </w:num>
  <w:num w:numId="17" w16cid:durableId="1976789859">
    <w:abstractNumId w:val="24"/>
  </w:num>
  <w:num w:numId="18" w16cid:durableId="900988977">
    <w:abstractNumId w:val="22"/>
  </w:num>
  <w:num w:numId="19" w16cid:durableId="2084596157">
    <w:abstractNumId w:val="1"/>
  </w:num>
  <w:num w:numId="20" w16cid:durableId="658927967">
    <w:abstractNumId w:val="21"/>
  </w:num>
  <w:num w:numId="21" w16cid:durableId="662900054">
    <w:abstractNumId w:val="2"/>
  </w:num>
  <w:num w:numId="22" w16cid:durableId="1303148376">
    <w:abstractNumId w:val="11"/>
  </w:num>
  <w:num w:numId="23" w16cid:durableId="1204292685">
    <w:abstractNumId w:val="23"/>
  </w:num>
  <w:num w:numId="24" w16cid:durableId="535433676">
    <w:abstractNumId w:val="5"/>
  </w:num>
  <w:num w:numId="25" w16cid:durableId="11230189">
    <w:abstractNumId w:val="17"/>
  </w:num>
  <w:num w:numId="26" w16cid:durableId="1264680548">
    <w:abstractNumId w:val="13"/>
  </w:num>
  <w:num w:numId="27" w16cid:durableId="1396147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500540"/>
    <w:rsid w:val="005017C4"/>
    <w:rsid w:val="005920B4"/>
    <w:rsid w:val="005A4D46"/>
    <w:rsid w:val="00671922"/>
    <w:rsid w:val="006E148E"/>
    <w:rsid w:val="00717BBD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2024-05-23T02:27:00Z</dcterms:modified>
</cp:coreProperties>
</file>