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A199F88" w14:textId="2E975D1B" w:rsidR="0062589C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9378" w:history="1">
            <w:r w:rsidR="0062589C"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Extra document types - BUG - Stock in</w:t>
            </w:r>
            <w:r w:rsidR="0062589C">
              <w:rPr>
                <w:noProof/>
                <w:webHidden/>
              </w:rPr>
              <w:tab/>
            </w:r>
            <w:r w:rsidR="0062589C">
              <w:rPr>
                <w:noProof/>
                <w:webHidden/>
              </w:rPr>
              <w:fldChar w:fldCharType="begin"/>
            </w:r>
            <w:r w:rsidR="0062589C">
              <w:rPr>
                <w:noProof/>
                <w:webHidden/>
              </w:rPr>
              <w:instrText xml:space="preserve"> PAGEREF _Toc167339378 \h </w:instrText>
            </w:r>
            <w:r w:rsidR="0062589C">
              <w:rPr>
                <w:noProof/>
                <w:webHidden/>
              </w:rPr>
            </w:r>
            <w:r w:rsidR="0062589C">
              <w:rPr>
                <w:noProof/>
                <w:webHidden/>
              </w:rPr>
              <w:fldChar w:fldCharType="separate"/>
            </w:r>
            <w:r w:rsidR="0062589C">
              <w:rPr>
                <w:noProof/>
                <w:webHidden/>
              </w:rPr>
              <w:t>1</w:t>
            </w:r>
            <w:r w:rsidR="0062589C">
              <w:rPr>
                <w:noProof/>
                <w:webHidden/>
              </w:rPr>
              <w:fldChar w:fldCharType="end"/>
            </w:r>
          </w:hyperlink>
        </w:p>
        <w:p w14:paraId="240A0F55" w14:textId="3FEE78F5" w:rsidR="0062589C" w:rsidRDefault="006258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79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Separate Item Issue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EB13" w14:textId="4751A59B" w:rsidR="0062589C" w:rsidRDefault="006258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80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FE69" w14:textId="48711C5F" w:rsidR="0062589C" w:rsidRDefault="006258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81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Input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D910" w14:textId="5B2783C5" w:rsidR="0062589C" w:rsidRDefault="006258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82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Print posted transactions - Cannot print posted transactions for Stock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0943" w14:textId="4C0C94A8" w:rsidR="0062589C" w:rsidRDefault="006258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83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ledger / Delete documents - Titlebar captions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2FFF" w14:textId="4F65448D" w:rsidR="0062589C" w:rsidRDefault="006258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84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Print layout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2F9D" w14:textId="3A8C1D46" w:rsidR="0062589C" w:rsidRDefault="006258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85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in -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7C0A" w14:textId="73B08739" w:rsidR="0062589C" w:rsidRDefault="006258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86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Activation of the "</w:t>
            </w:r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Dynareg Only purchase via new type</w:t>
            </w:r>
            <w:r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"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7BF3" w14:textId="0BC2007F" w:rsidR="0062589C" w:rsidRDefault="006258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87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Access to Stock in document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FDE8" w14:textId="1487BD2D" w:rsidR="0062589C" w:rsidRDefault="006258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88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 grid - Search and Filter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84F3" w14:textId="6CCBEBA7" w:rsidR="0062589C" w:rsidRDefault="006258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89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Filter and Search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25AF" w14:textId="0CECCF56" w:rsidR="0062589C" w:rsidRDefault="006258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90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8863" w14:textId="16E082D2" w:rsidR="0062589C" w:rsidRDefault="006258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91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Update to 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0154" w14:textId="46D4F110" w:rsidR="0062589C" w:rsidRDefault="006258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92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View the posted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B24F" w14:textId="51565895" w:rsidR="0062589C" w:rsidRDefault="006258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93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items (Default ribbon)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3C6A" w14:textId="69E65E7A" w:rsidR="0062589C" w:rsidRDefault="006258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94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groups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A5CB" w14:textId="67F977B9" w:rsidR="0062589C" w:rsidRDefault="006258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95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Transactions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48B9" w14:textId="2673716E" w:rsidR="0062589C" w:rsidRDefault="006258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96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Creditors (Default Ribbon)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8AF1" w14:textId="6D711163" w:rsidR="0062589C" w:rsidRDefault="006258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97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2010" w14:textId="03A16E5A" w:rsidR="0062589C" w:rsidRDefault="006258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98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item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B77E" w14:textId="592AC99A" w:rsidR="0062589C" w:rsidRDefault="006258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39399" w:history="1">
            <w:r w:rsidRPr="00E53D5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Input → Stock out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6BE20A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0DF3B31" w14:textId="00E22AFC" w:rsidR="00756EED" w:rsidRDefault="00756EED" w:rsidP="00756EE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9378"/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Extra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types</w:t>
      </w:r>
      <w:proofErr w:type="spellEnd"/>
      <w:r w:rsidRPr="00756EE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BUG - Stock </w:t>
      </w:r>
      <w:r w:rsid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</w:t>
      </w:r>
      <w:bookmarkEnd w:id="0"/>
    </w:p>
    <w:p w14:paraId="283AF2E7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39379"/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Separate Item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Issue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1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62589C" w:rsidRPr="0062589C" w14:paraId="5BE19DBA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78854FC5" w14:textId="32E93394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62589C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3FA2134B" wp14:editId="261947EE">
                  <wp:extent cx="457200" cy="457200"/>
                  <wp:effectExtent l="0" t="0" r="0" b="0"/>
                  <wp:docPr id="2011821886" name="Prent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2D524030" w14:textId="2544FF53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62589C">
              <w:rPr>
                <w:rFonts w:ascii="Arial" w:hAnsi="Arial" w:cs="Arial"/>
                <w:noProof/>
                <w:sz w:val="24"/>
                <w:szCs w:val="24"/>
                <w:lang w:val="x-none"/>
              </w:rPr>
              <w:drawing>
                <wp:anchor distT="0" distB="0" distL="114300" distR="114300" simplePos="0" relativeHeight="251658240" behindDoc="0" locked="0" layoutInCell="1" allowOverlap="1" wp14:anchorId="6303E6FF" wp14:editId="0BD1973E">
                  <wp:simplePos x="1095375" y="8096250"/>
                  <wp:positionH relativeFrom="column">
                    <wp:align>right</wp:align>
                  </wp:positionH>
                  <wp:positionV relativeFrom="paragraph">
                    <wp:posOffset>46990</wp:posOffset>
                  </wp:positionV>
                  <wp:extent cx="1468800" cy="1831231"/>
                  <wp:effectExtent l="0" t="0" r="0" b="0"/>
                  <wp:wrapThrough wrapText="bothSides">
                    <wp:wrapPolygon edited="0">
                      <wp:start x="0" y="0"/>
                      <wp:lineTo x="0" y="21353"/>
                      <wp:lineTo x="21292" y="21353"/>
                      <wp:lineTo x="21292" y="0"/>
                      <wp:lineTo x="0" y="0"/>
                    </wp:wrapPolygon>
                  </wp:wrapThrough>
                  <wp:docPr id="655687021" name="Prent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800" cy="1831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Separate Item </w:t>
            </w: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Issue</w:t>
            </w:r>
            <w:proofErr w:type="spellEnd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62589C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47754296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Aparte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artickel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uitgifte"</w:t>
            </w:r>
          </w:p>
          <w:p w14:paraId="78884377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Alleen inkoop"</w:t>
            </w:r>
          </w:p>
          <w:p w14:paraId="1E91174E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Verminder herbestel by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doorboeken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inkoop"</w:t>
            </w:r>
          </w:p>
          <w:p w14:paraId="3F37D48B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BUG</w:t>
            </w:r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Disables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Ledger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tab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all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Stock items- See -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Dynareg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Extra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documnent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types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BUG - Stock items</w:t>
            </w:r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</w:tc>
      </w:tr>
    </w:tbl>
    <w:p w14:paraId="796CE27A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39380"/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Known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issues</w:t>
      </w:r>
      <w:bookmarkEnd w:id="2"/>
      <w:proofErr w:type="spellEnd"/>
    </w:p>
    <w:p w14:paraId="61395077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339381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Input menu</w:t>
      </w:r>
      <w:bookmarkEnd w:id="3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6ED0BFAB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sz w:val="20"/>
          <w:szCs w:val="20"/>
          <w:lang w:val="x-none"/>
        </w:rPr>
        <w:t xml:space="preserve">Input menu - Stock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5955E62D" w14:textId="2B62AC75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7CB0175" wp14:editId="239F2532">
            <wp:extent cx="6645910" cy="2592705"/>
            <wp:effectExtent l="0" t="0" r="2540" b="0"/>
            <wp:docPr id="1364187318" name="Pr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2B48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39382"/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Print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posted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transactions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Cannot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print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posted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transactions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for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Stock in</w:t>
      </w:r>
      <w:bookmarkEnd w:id="4"/>
    </w:p>
    <w:p w14:paraId="03C54852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Creditors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tab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-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Batch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report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Posted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batches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No data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!"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Document -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Output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Input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In Ledger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analyser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trace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42741920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journal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primarily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adjusts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."</w:t>
      </w:r>
    </w:p>
    <w:p w14:paraId="7AF4C853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7339383"/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Update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ledger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/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Delete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Titlebar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captions</w:t>
      </w:r>
      <w:bookmarkEnd w:id="5"/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BB600FB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- Stock in -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</w:p>
    <w:p w14:paraId="30505528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- Stock in -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</w:p>
    <w:p w14:paraId="14DFAD4F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7339384"/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Print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layout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files</w:t>
      </w:r>
      <w:bookmarkEnd w:id="6"/>
      <w:proofErr w:type="spellEnd"/>
    </w:p>
    <w:p w14:paraId="64087801" w14:textId="77777777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point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-of-sale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setting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work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 By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slip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POS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Tax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".   </w:t>
      </w:r>
    </w:p>
    <w:p w14:paraId="33F0A311" w14:textId="3F4AF83A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5203BDD8" wp14:editId="26023F81">
            <wp:extent cx="6448425" cy="4219575"/>
            <wp:effectExtent l="0" t="0" r="9525" b="9525"/>
            <wp:docPr id="1253150763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A1D0" w14:textId="77777777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Default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Document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work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46C86BD9" w14:textId="77777777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headings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Tools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Customise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language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11DE4205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67339385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 xml:space="preserve">Stock in -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Statement</w:t>
      </w:r>
      <w:bookmarkEnd w:id="7"/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169779A8" w14:textId="23A921CF" w:rsidR="0062589C" w:rsidRPr="0062589C" w:rsidRDefault="0062589C" w:rsidP="0062589C">
      <w:r w:rsidRPr="0062589C">
        <w:rPr>
          <w:noProof/>
        </w:rPr>
        <w:drawing>
          <wp:inline distT="0" distB="0" distL="0" distR="0" wp14:anchorId="7496E739" wp14:editId="76CFF9A5">
            <wp:extent cx="6645910" cy="4902835"/>
            <wp:effectExtent l="0" t="0" r="2540" b="0"/>
            <wp:docPr id="1213574328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F294" w14:textId="77777777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62589C" w:rsidRPr="0062589C" w14:paraId="7BFD0E25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73C0FBB8" w14:textId="1A1F2720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62589C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5C317B27" wp14:editId="20C3FF20">
                  <wp:extent cx="457200" cy="457200"/>
                  <wp:effectExtent l="0" t="0" r="0" b="0"/>
                  <wp:docPr id="730678102" name="Prent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D85A785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Separate Item </w:t>
            </w: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Issue</w:t>
            </w:r>
            <w:proofErr w:type="spellEnd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62589C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1B7885E4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Aparte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artickel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uitgifte"</w:t>
            </w:r>
          </w:p>
          <w:p w14:paraId="79B536DE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Alleen inkoop"</w:t>
            </w:r>
          </w:p>
          <w:p w14:paraId="3806E7F2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Verminder herbestel by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doorboeken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inkoop"</w:t>
            </w:r>
          </w:p>
        </w:tc>
      </w:tr>
    </w:tbl>
    <w:p w14:paraId="36149C79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8" w:name="_Toc167339386"/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Activation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of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"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Dynareg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Only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purchase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via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new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000080"/>
          <w:sz w:val="28"/>
          <w:szCs w:val="28"/>
          <w:lang w:val="x-none"/>
        </w:rPr>
        <w:t>type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"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8"/>
      <w:proofErr w:type="spellEnd"/>
    </w:p>
    <w:p w14:paraId="4FC3B1B0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activate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Only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purchase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via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new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as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you'll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follow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steps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:</w:t>
      </w:r>
    </w:p>
    <w:p w14:paraId="21847DB6" w14:textId="77777777" w:rsidR="0062589C" w:rsidRPr="0062589C" w:rsidRDefault="0062589C" w:rsidP="0062589C">
      <w:pPr>
        <w:numPr>
          <w:ilvl w:val="0"/>
          <w:numId w:val="27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Aparte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artickel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uitgifte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72D7819C" w14:textId="77777777" w:rsidR="0062589C" w:rsidRPr="0062589C" w:rsidRDefault="0062589C" w:rsidP="0062589C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Alleen inkoop"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also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50943D59" w14:textId="77777777" w:rsidR="0062589C" w:rsidRPr="0062589C" w:rsidRDefault="0062589C" w:rsidP="0062589C">
      <w:pPr>
        <w:numPr>
          <w:ilvl w:val="0"/>
          <w:numId w:val="27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Verminder herbestel by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doorboeken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inkoop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specifically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"Stock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previous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removed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62026CF3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lastRenderedPageBreak/>
        <w:t>After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enabling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sure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reopen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Set of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step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crucial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ensure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changes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take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effect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properly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121A9C84" w14:textId="37F692A2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14E7456" wp14:editId="69749149">
            <wp:extent cx="6645910" cy="4104005"/>
            <wp:effectExtent l="0" t="0" r="2540" b="0"/>
            <wp:docPr id="662495835" name="Pr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0EFE" w14:textId="77777777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62589C" w:rsidRPr="0062589C" w14:paraId="6AC4DCAB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77DE909" w14:textId="02339E7B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62589C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69D1FA08" wp14:editId="33133060">
                  <wp:extent cx="457200" cy="457200"/>
                  <wp:effectExtent l="0" t="0" r="0" b="0"/>
                  <wp:docPr id="441344685" name="Pren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461D20A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Separate Item </w:t>
            </w: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Issue</w:t>
            </w:r>
            <w:proofErr w:type="spellEnd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62589C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77C3A651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Aparte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artickel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uitgifte"</w:t>
            </w:r>
          </w:p>
          <w:p w14:paraId="27D065B7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Alleen inkoop"</w:t>
            </w:r>
          </w:p>
          <w:p w14:paraId="00DAF3BA" w14:textId="77777777" w:rsidR="0062589C" w:rsidRPr="0062589C" w:rsidRDefault="0062589C" w:rsidP="0062589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2589C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-&gt; Verminder herbestel by </w:t>
            </w:r>
            <w:proofErr w:type="spellStart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doorboeken</w:t>
            </w:r>
            <w:proofErr w:type="spellEnd"/>
            <w:r w:rsidRPr="0062589C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inkoop"</w:t>
            </w:r>
          </w:p>
        </w:tc>
      </w:tr>
    </w:tbl>
    <w:p w14:paraId="1D526B82" w14:textId="77777777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Reduce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reorders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rebooking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DF32214" w14:textId="77777777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transferring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reduce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reorder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 (2nd hand store)</w:t>
      </w:r>
    </w:p>
    <w:p w14:paraId="736F60E2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9" w:name="_Toc167339387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Access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to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Stock in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</w:t>
      </w:r>
      <w:bookmarkEnd w:id="9"/>
      <w:proofErr w:type="spellEnd"/>
    </w:p>
    <w:p w14:paraId="12E4B59E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addition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standard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serving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distinct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purpose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6B181715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alongside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existing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orders. Document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start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SI00001</w:t>
      </w:r>
      <w:r w:rsidRPr="0062589C">
        <w:rPr>
          <w:rFonts w:ascii="Segoe UI" w:hAnsi="Segoe UI" w:cs="Segoe UI"/>
          <w:sz w:val="20"/>
          <w:szCs w:val="20"/>
          <w:lang w:val="x-none"/>
        </w:rPr>
        <w:t>".</w:t>
      </w:r>
    </w:p>
    <w:p w14:paraId="163A72AC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Accessing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additional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: </w:t>
      </w:r>
    </w:p>
    <w:p w14:paraId="5B4DF5A4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access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:</w:t>
      </w:r>
    </w:p>
    <w:p w14:paraId="58D58784" w14:textId="77777777" w:rsidR="0062589C" w:rsidRPr="0062589C" w:rsidRDefault="0062589C" w:rsidP="0062589C">
      <w:pPr>
        <w:numPr>
          <w:ilvl w:val="0"/>
          <w:numId w:val="29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ribbon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Navigate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either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standard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integrated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part of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12BCC539" w14:textId="2F7566D2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x-none"/>
        </w:rPr>
      </w:pPr>
      <w:r w:rsidRPr="0062589C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3771E93C" wp14:editId="162BF57D">
            <wp:extent cx="1466850" cy="1828800"/>
            <wp:effectExtent l="0" t="0" r="0" b="0"/>
            <wp:docPr id="801758595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CF41" w14:textId="77777777" w:rsidR="0062589C" w:rsidRPr="0062589C" w:rsidRDefault="0062589C" w:rsidP="0062589C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Input menu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standard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Input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as a separate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27A9EF9E" w14:textId="2999CEBD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x-none"/>
        </w:rPr>
      </w:pPr>
      <w:r w:rsidRPr="0062589C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280D84F4" wp14:editId="6B33498E">
            <wp:extent cx="6645910" cy="2592705"/>
            <wp:effectExtent l="0" t="0" r="2540" b="0"/>
            <wp:docPr id="1284741632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55BE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menu of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accessible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Copy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Stock in</w:t>
      </w:r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4D982F97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0" w:name="_Toc167339388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Document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grid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Search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and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Filter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options</w:t>
      </w:r>
      <w:bookmarkEnd w:id="10"/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2669E54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1" w:name="_Toc167339389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Filter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and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Search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options</w:t>
      </w:r>
      <w:bookmarkEnd w:id="11"/>
      <w:proofErr w:type="spellEnd"/>
    </w:p>
    <w:p w14:paraId="15D4DAA1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utilize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powerful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filtering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searching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Some of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:</w:t>
      </w:r>
    </w:p>
    <w:p w14:paraId="21D40B5C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Document status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: Filter by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5EC49D17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: Filter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37CB5EF0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Document details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: Access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details,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more.</w:t>
      </w:r>
    </w:p>
    <w:p w14:paraId="1005E007" w14:textId="77777777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build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custom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filters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tailored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needs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4C7020EB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2" w:name="_Toc167339390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Stock in</w:t>
      </w:r>
      <w:bookmarkEnd w:id="12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4ABAFF1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resembles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Purchase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New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Creditor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accounts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vendor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Open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exists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4989587D" w14:textId="1C8C7E12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29B25C88" wp14:editId="081158E8">
            <wp:extent cx="6645910" cy="3877945"/>
            <wp:effectExtent l="0" t="0" r="2540" b="8255"/>
            <wp:docPr id="1248220450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8622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item.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Your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reference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:</w:t>
      </w:r>
    </w:p>
    <w:p w14:paraId="6F6A8E35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Remarks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Beneath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searchable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65DE6882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Comments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F9: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Comment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205C3ABD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Your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reference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along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are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searchable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accessible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Search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).</w:t>
      </w:r>
    </w:p>
    <w:p w14:paraId="0D4633A3" w14:textId="77777777" w:rsidR="0062589C" w:rsidRPr="0062589C" w:rsidRDefault="0062589C" w:rsidP="0062589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937B8EC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3" w:name="_Toc167339391"/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Update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to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ledger</w:t>
      </w:r>
      <w:bookmarkEnd w:id="13"/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9BE253A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Auto-post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setting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menu (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accessible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)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activated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yet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manually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post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1EA706B4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do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press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F3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Update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Ledger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Update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Invoices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:</w:t>
      </w:r>
    </w:p>
    <w:p w14:paraId="08B8D8B2" w14:textId="5AC3D793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3A94A9B8" wp14:editId="23FA776A">
            <wp:extent cx="6645910" cy="3883660"/>
            <wp:effectExtent l="0" t="0" r="2540" b="2540"/>
            <wp:docPr id="24071445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EC12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Update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4C364C59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4" w:name="_Toc167339392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View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posted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transactions</w:t>
      </w:r>
      <w:bookmarkEnd w:id="14"/>
      <w:proofErr w:type="spellEnd"/>
    </w:p>
    <w:p w14:paraId="5A1BDC0E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),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:</w:t>
      </w:r>
    </w:p>
    <w:p w14:paraId="79D5EA3C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5" w:name="_Toc167339393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 items (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ribbon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15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E88083E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63B10385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6" w:name="_Toc167339394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Document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groups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16"/>
      <w:proofErr w:type="spellEnd"/>
    </w:p>
    <w:p w14:paraId="18E0ECB8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07E61BCD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21C5297E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open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a separate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window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Note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23D58C16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7" w:name="_Toc167339395"/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17"/>
      <w:proofErr w:type="spellEnd"/>
    </w:p>
    <w:p w14:paraId="526BDC24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0EE93B1B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Open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menu. Note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248D2F1C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8" w:name="_Toc167339396"/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Creditors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(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Ribbon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18"/>
    </w:p>
    <w:p w14:paraId="575516C5" w14:textId="77777777" w:rsidR="0062589C" w:rsidRPr="0062589C" w:rsidRDefault="0062589C" w:rsidP="0062589C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since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65755FC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9" w:name="_Toc167339397"/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Documents</w:t>
      </w:r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19"/>
      <w:proofErr w:type="spellEnd"/>
    </w:p>
    <w:p w14:paraId="0F8A9D42" w14:textId="7C2B0054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62589C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743FC94A" wp14:editId="62C35F47">
            <wp:extent cx="6645910" cy="2613660"/>
            <wp:effectExtent l="0" t="0" r="2540" b="0"/>
            <wp:docPr id="999410933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B86E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7D132A6D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sz w:val="20"/>
          <w:szCs w:val="20"/>
          <w:lang w:val="x-none"/>
        </w:rPr>
        <w:t xml:space="preserve">Here,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:</w:t>
      </w:r>
    </w:p>
    <w:p w14:paraId="634F88F6" w14:textId="77777777" w:rsidR="0062589C" w:rsidRPr="0062589C" w:rsidRDefault="0062589C" w:rsidP="0062589C">
      <w:pPr>
        <w:numPr>
          <w:ilvl w:val="1"/>
          <w:numId w:val="28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file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D463ED3" w14:textId="77777777" w:rsidR="0062589C" w:rsidRPr="0062589C" w:rsidRDefault="0062589C" w:rsidP="0062589C">
      <w:pPr>
        <w:numPr>
          <w:ilvl w:val="1"/>
          <w:numId w:val="28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View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primarily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adjusts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0AE50F5B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0" w:name="_Toc167339398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Stock item </w:t>
      </w:r>
      <w:proofErr w:type="spellStart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20"/>
      <w:proofErr w:type="spellEnd"/>
      <w:r w:rsidRPr="0062589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108ABC5A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.</w:t>
      </w:r>
    </w:p>
    <w:p w14:paraId="35687534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prefixed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SI</w:t>
      </w:r>
      <w:r w:rsidRPr="0062589C">
        <w:rPr>
          <w:rFonts w:ascii="Segoe UI" w:hAnsi="Segoe UI" w:cs="Segoe UI"/>
          <w:sz w:val="20"/>
          <w:szCs w:val="20"/>
          <w:lang w:val="x-none"/>
        </w:rPr>
        <w:t>" .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indicated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as "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Stock-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</w:p>
    <w:p w14:paraId="036521B0" w14:textId="77777777" w:rsidR="0062589C" w:rsidRPr="0062589C" w:rsidRDefault="0062589C" w:rsidP="0062589C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9CA0F96" w14:textId="77777777" w:rsidR="0062589C" w:rsidRPr="0062589C" w:rsidRDefault="0062589C" w:rsidP="0062589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1" w:name="_Toc167339399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Input → Stock </w:t>
      </w:r>
      <w:proofErr w:type="spellStart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</w:t>
      </w:r>
      <w:proofErr w:type="spellEnd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menu</w:t>
      </w:r>
      <w:bookmarkEnd w:id="21"/>
      <w:r w:rsidRPr="0062589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7C4E59A" w14:textId="77777777" w:rsidR="0062589C" w:rsidRPr="0062589C" w:rsidRDefault="0062589C" w:rsidP="0062589C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read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- See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17A9254E" w14:textId="77777777" w:rsidR="0062589C" w:rsidRPr="0062589C" w:rsidRDefault="0062589C" w:rsidP="0062589C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Document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in a separate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window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New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"X IN000025, etc.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instead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of a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"SI00001"</w:t>
      </w:r>
    </w:p>
    <w:p w14:paraId="4F08EB70" w14:textId="5818AC87" w:rsidR="0062589C" w:rsidRPr="0062589C" w:rsidRDefault="0062589C" w:rsidP="0062589C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4E1A06BB" wp14:editId="31DBCB72">
            <wp:extent cx="6645910" cy="4138930"/>
            <wp:effectExtent l="0" t="0" r="2540" b="0"/>
            <wp:docPr id="142916574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1A2E" w14:textId="77777777" w:rsidR="0062589C" w:rsidRPr="0062589C" w:rsidRDefault="0062589C" w:rsidP="0062589C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7221F2A" w14:textId="77777777" w:rsidR="0062589C" w:rsidRPr="0062589C" w:rsidRDefault="0062589C" w:rsidP="0062589C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31280E6" w14:textId="17F65C40" w:rsidR="0062589C" w:rsidRPr="0062589C" w:rsidRDefault="0062589C" w:rsidP="0062589C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7810EAC" wp14:editId="66BA6660">
            <wp:extent cx="6645910" cy="4653280"/>
            <wp:effectExtent l="0" t="0" r="2540" b="0"/>
            <wp:docPr id="1154111031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CDF3" w14:textId="77777777" w:rsidR="0062589C" w:rsidRPr="0062589C" w:rsidRDefault="0062589C" w:rsidP="0062589C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NOTE</w:t>
      </w:r>
      <w:r w:rsidRPr="0062589C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</w:t>
      </w:r>
      <w:proofErr w:type="spellStart"/>
      <w:r w:rsidRPr="0062589C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:</w:t>
      </w:r>
    </w:p>
    <w:p w14:paraId="62D4A74F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)</w:t>
      </w:r>
    </w:p>
    <w:p w14:paraId="13237F35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post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)</w:t>
      </w:r>
    </w:p>
    <w:p w14:paraId="53D3D13F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)</w:t>
      </w:r>
    </w:p>
    <w:p w14:paraId="000F322F" w14:textId="77777777" w:rsidR="0062589C" w:rsidRPr="0062589C" w:rsidRDefault="0062589C" w:rsidP="0062589C">
      <w:pPr>
        <w:numPr>
          <w:ilvl w:val="0"/>
          <w:numId w:val="2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uses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"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Layout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file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point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-of-sale" </w:t>
      </w:r>
      <w:proofErr w:type="spellStart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>field</w:t>
      </w:r>
      <w:proofErr w:type="spellEnd"/>
      <w:r w:rsidRPr="0062589C">
        <w:rPr>
          <w:rFonts w:ascii="Segoe UI" w:hAnsi="Segoe UI" w:cs="Segoe UI"/>
          <w:i/>
          <w:iCs/>
          <w:sz w:val="20"/>
          <w:szCs w:val="20"/>
          <w:lang w:val="x-none"/>
        </w:rPr>
        <w:t xml:space="preserve"> setting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→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204F5CF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sz w:val="20"/>
          <w:szCs w:val="20"/>
          <w:lang w:val="x-none"/>
        </w:rPr>
        <w:t xml:space="preserve">Stock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3570401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sz w:val="20"/>
          <w:szCs w:val="20"/>
          <w:lang w:val="x-none"/>
        </w:rPr>
        <w:t xml:space="preserve">Stock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Disassemble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(Stock item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>)</w:t>
      </w:r>
    </w:p>
    <w:p w14:paraId="6C4180DD" w14:textId="51637C0E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D1CB50E" wp14:editId="5D95A839">
            <wp:extent cx="6645910" cy="3639820"/>
            <wp:effectExtent l="0" t="0" r="2540" b="0"/>
            <wp:docPr id="436850847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8AB5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Disassemble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(Stock item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2B4B154D" w14:textId="77777777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sz w:val="20"/>
          <w:szCs w:val="20"/>
          <w:lang w:val="x-none"/>
        </w:rPr>
        <w:t xml:space="preserve">BOM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Stock in / Stock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62589C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62589C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</w:p>
    <w:p w14:paraId="7A7CF2C0" w14:textId="7B0421DF" w:rsidR="0062589C" w:rsidRPr="0062589C" w:rsidRDefault="0062589C" w:rsidP="0062589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62589C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215A8206" wp14:editId="51CE8654">
            <wp:extent cx="6645910" cy="5134610"/>
            <wp:effectExtent l="0" t="0" r="2540" b="8890"/>
            <wp:docPr id="812125017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2451" w14:textId="77777777" w:rsidR="0062589C" w:rsidRPr="00756EED" w:rsidRDefault="0062589C" w:rsidP="00756EE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</w:p>
    <w:sectPr w:rsidR="0062589C" w:rsidRPr="00756EED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AEC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8A2D45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190D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5DD6F6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2"/>
  </w:num>
  <w:num w:numId="2" w16cid:durableId="118960105">
    <w:abstractNumId w:val="14"/>
  </w:num>
  <w:num w:numId="3" w16cid:durableId="458259407">
    <w:abstractNumId w:val="3"/>
  </w:num>
  <w:num w:numId="4" w16cid:durableId="628585084">
    <w:abstractNumId w:val="18"/>
  </w:num>
  <w:num w:numId="5" w16cid:durableId="1438217324">
    <w:abstractNumId w:val="11"/>
  </w:num>
  <w:num w:numId="6" w16cid:durableId="863785018">
    <w:abstractNumId w:val="5"/>
  </w:num>
  <w:num w:numId="7" w16cid:durableId="924336741">
    <w:abstractNumId w:val="16"/>
  </w:num>
  <w:num w:numId="8" w16cid:durableId="1585145881">
    <w:abstractNumId w:val="21"/>
  </w:num>
  <w:num w:numId="9" w16cid:durableId="1220288230">
    <w:abstractNumId w:val="0"/>
  </w:num>
  <w:num w:numId="10" w16cid:durableId="737560725">
    <w:abstractNumId w:val="9"/>
  </w:num>
  <w:num w:numId="11" w16cid:durableId="1529446011">
    <w:abstractNumId w:val="17"/>
  </w:num>
  <w:num w:numId="12" w16cid:durableId="36853325">
    <w:abstractNumId w:val="23"/>
  </w:num>
  <w:num w:numId="13" w16cid:durableId="920024694">
    <w:abstractNumId w:val="22"/>
  </w:num>
  <w:num w:numId="14" w16cid:durableId="821969903">
    <w:abstractNumId w:val="28"/>
  </w:num>
  <w:num w:numId="15" w16cid:durableId="1321037936">
    <w:abstractNumId w:val="10"/>
  </w:num>
  <w:num w:numId="16" w16cid:durableId="181827317">
    <w:abstractNumId w:val="8"/>
  </w:num>
  <w:num w:numId="17" w16cid:durableId="1976789859">
    <w:abstractNumId w:val="27"/>
  </w:num>
  <w:num w:numId="18" w16cid:durableId="900988977">
    <w:abstractNumId w:val="25"/>
  </w:num>
  <w:num w:numId="19" w16cid:durableId="2084596157">
    <w:abstractNumId w:val="1"/>
  </w:num>
  <w:num w:numId="20" w16cid:durableId="658927967">
    <w:abstractNumId w:val="24"/>
  </w:num>
  <w:num w:numId="21" w16cid:durableId="662900054">
    <w:abstractNumId w:val="2"/>
  </w:num>
  <w:num w:numId="22" w16cid:durableId="1303148376">
    <w:abstractNumId w:val="13"/>
  </w:num>
  <w:num w:numId="23" w16cid:durableId="1204292685">
    <w:abstractNumId w:val="26"/>
  </w:num>
  <w:num w:numId="24" w16cid:durableId="535433676">
    <w:abstractNumId w:val="6"/>
  </w:num>
  <w:num w:numId="25" w16cid:durableId="11230189">
    <w:abstractNumId w:val="20"/>
  </w:num>
  <w:num w:numId="26" w16cid:durableId="1797719643">
    <w:abstractNumId w:val="15"/>
  </w:num>
  <w:num w:numId="27" w16cid:durableId="1754812884">
    <w:abstractNumId w:val="4"/>
  </w:num>
  <w:num w:numId="28" w16cid:durableId="108280225">
    <w:abstractNumId w:val="7"/>
  </w:num>
  <w:num w:numId="29" w16cid:durableId="566356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4658C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787D"/>
    <w:rsid w:val="003332ED"/>
    <w:rsid w:val="00383AE5"/>
    <w:rsid w:val="003D5FC1"/>
    <w:rsid w:val="003E3485"/>
    <w:rsid w:val="004019E4"/>
    <w:rsid w:val="00443ECA"/>
    <w:rsid w:val="00462AE1"/>
    <w:rsid w:val="0047234D"/>
    <w:rsid w:val="00474BB8"/>
    <w:rsid w:val="004C6E9E"/>
    <w:rsid w:val="00500540"/>
    <w:rsid w:val="005017C4"/>
    <w:rsid w:val="005920B4"/>
    <w:rsid w:val="005A4D46"/>
    <w:rsid w:val="0062589C"/>
    <w:rsid w:val="006E148E"/>
    <w:rsid w:val="00717BBD"/>
    <w:rsid w:val="00756EED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D2EAE"/>
    <w:rsid w:val="00AD4CC0"/>
    <w:rsid w:val="00B7299E"/>
    <w:rsid w:val="00B77A9D"/>
    <w:rsid w:val="00BA721B"/>
    <w:rsid w:val="00BC1AAE"/>
    <w:rsid w:val="00BF3DF0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12</Pages>
  <Words>1684</Words>
  <Characters>9600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22</cp:revision>
  <dcterms:created xsi:type="dcterms:W3CDTF">2024-01-02T07:22:00Z</dcterms:created>
  <dcterms:modified xsi:type="dcterms:W3CDTF">2024-05-23T06:51:00Z</dcterms:modified>
</cp:coreProperties>
</file>