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Whumpo MVP technical design</w:t>
      </w:r>
    </w:p>
    <w:p>
      <w:r>
        <w:t>Version 0.7  |  September 30 2026  |  Private test platform</w:t>
      </w:r>
    </w:p>
    <w:p>
      <w:r>
        <w:t>Whumpo helps customers build and maintain websites and bounded applications through conversation. This design describes the implemented platform, the commercial decisions that guide its next stage, and the evidence still required before calling the MVP complete.</w:t>
      </w:r>
    </w:p>
    <w:p>
      <w:r>
        <w:t>The platform is running at whumpo.com, but the full MVP is not complete. Core website delivery and several application and CMS paths are implemented. Customer provider authorization, real custom-domain acceptance, payment activation, broader workload coverage and physical-device acceptance remain open.</w:t>
      </w:r>
    </w:p>
    <w:p>
      <w:pPr>
        <w:pStyle w:val="Heading2"/>
      </w:pPr>
      <w:r>
        <w:rPr>
          <w:color w:val="000000"/>
        </w:rPr>
        <w:t>Current operating decisions</w:t>
      </w:r>
    </w:p>
    <w:p>
      <w:pPr>
        <w:pStyle w:val="ListBullet"/>
      </w:pPr>
      <w:r>
        <w:t>Use whumpo.com for the product and project subdomains of whumpo.site for customer works. Historical tellumo service identifiers are internal only; no retired-domain fallback is part of the product.</w:t>
      </w:r>
    </w:p>
    <w:p>
      <w:pPr>
        <w:pStyle w:val="ListBullet"/>
      </w:pPr>
      <w:r>
        <w:t>Keep signup invitation-only and passkeys the default. New customers complete a friendly welcome and start a private project before seeing Chat or Dashboard.</w:t>
      </w:r>
    </w:p>
    <w:p>
      <w:pPr>
        <w:pStyle w:val="ListBullet"/>
      </w:pPr>
      <w:r>
        <w:t>Use the existing Cloudflare Workers Paid account authorized by the owner. GitHub use remains within free features. Additional paid services, purchases and customer DNS or deployment operations require the applicable concrete review.</w:t>
      </w:r>
    </w:p>
    <w:p>
      <w:pPr>
        <w:pStyle w:val="ListBullet"/>
      </w:pPr>
      <w:r>
        <w:t>Owner testing remains on OpenCode Go Muse Spark 1.3 Contributor. Future API-funded routing will use Cloudflare AI Gateway, favoring Workers AI when quality and total cost are competitive.</w:t>
      </w:r>
    </w:p>
    <w:p>
      <w:pPr>
        <w:pStyle w:val="ListBullet"/>
      </w:pPr>
      <w:r>
        <w:t>Paid launch assistance is unlimited standard site work under fair use. Monitor mode is the default. Premium access and infrastructure spending require separate consent. Stripe remains deferred.</w:t>
      </w:r>
    </w:p>
    <w:p>
      <w:pPr>
        <w:pStyle w:val="Heading2"/>
      </w:pPr>
      <w:r>
        <w:rPr>
          <w:color w:val="000000"/>
        </w:rPr>
        <w:t>Meaning of status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280"/>
      </w:tblGrid>
      <w:tr>
        <w:trPr>
          <w:tblHeader/>
          <w:cantSplit/>
        </w:trPr>
        <w:tc>
          <w:tcPr>
            <w:tcW w:type="dxa" w:w="1656"/>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Label</w:t>
            </w:r>
          </w:p>
        </w:tc>
        <w:tc>
          <w:tcPr>
            <w:tcW w:type="dxa" w:w="8280"/>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Meaning</w:t>
            </w:r>
          </w:p>
        </w:tc>
      </w:tr>
      <w:tr>
        <w:trPr>
          <w:cantSplit/>
        </w:trPr>
        <w:tc>
          <w:tcPr>
            <w:tcW w:type="dxa" w:w="1656"/>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Deployed</w:t>
            </w:r>
          </w:p>
        </w:tc>
        <w:tc>
          <w:tcPr>
            <w:tcW w:type="dxa" w:w="828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Code or configuration is present in the test environment; this alone does not prove every customer journey.</w:t>
            </w:r>
          </w:p>
        </w:tc>
      </w:tr>
      <w:tr>
        <w:trPr>
          <w:cantSplit/>
        </w:trPr>
        <w:tc>
          <w:tcPr>
            <w:tcW w:type="dxa" w:w="1656"/>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Verified</w:t>
            </w:r>
          </w:p>
        </w:tc>
        <w:tc>
          <w:tcPr>
            <w:tcW w:type="dxa" w:w="828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The stated test or live observation passed within its explicit scope.</w:t>
            </w:r>
          </w:p>
        </w:tc>
      </w:tr>
      <w:tr>
        <w:trPr>
          <w:cantSplit/>
        </w:trPr>
        <w:tc>
          <w:tcPr>
            <w:tcW w:type="dxa" w:w="1656"/>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Setup gated</w:t>
            </w:r>
          </w:p>
        </w:tc>
        <w:tc>
          <w:tcPr>
            <w:tcW w:type="dxa" w:w="828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Implementation exists, but credentials, resources or real provider consent are missing.</w:t>
            </w:r>
          </w:p>
        </w:tc>
      </w:tr>
      <w:tr>
        <w:trPr>
          <w:cantSplit/>
        </w:trPr>
        <w:tc>
          <w:tcPr>
            <w:tcW w:type="dxa" w:w="1656"/>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Planned</w:t>
            </w:r>
          </w:p>
        </w:tc>
        <w:tc>
          <w:tcPr>
            <w:tcW w:type="dxa" w:w="828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Product intent or a foundation that has not been activated end to end.</w:t>
            </w:r>
          </w:p>
        </w:tc>
      </w:tr>
    </w:tbl>
    <w:p>
      <w:pPr>
        <w:spacing w:after="0"/>
      </w:pPr>
    </w:p>
    <w:p>
      <w:r>
        <w:t>Repository feature contracts and deployment evidence take precedence when later changes supersede this dated snapshot. This edition replaces the previous design as the current overview; the earlier document remains historical design material.</w:t>
      </w:r>
    </w:p>
    <w:p>
      <w:pPr>
        <w:pStyle w:val="Heading1"/>
        <w:keepNext/>
        <w:pageBreakBefore/>
        <w:spacing w:before="360"/>
      </w:pPr>
      <w:r>
        <w:rPr>
          <w:color w:val="000000"/>
        </w:rPr>
        <w:t>Customer entry and workspace</w:t>
      </w:r>
    </w:p>
    <w:p>
      <w:pPr>
        <w:pStyle w:val="Heading2"/>
      </w:pPr>
      <w:r>
        <w:rPr>
          <w:color w:val="000000"/>
        </w:rPr>
        <w:t>Welcome before the workspace</w:t>
      </w:r>
    </w:p>
    <w:p>
      <w:r>
        <w:t>The guided welcome asks one question at a time in Whumpo message bubbles: name, picture, optional bio, first idea, working name, optional audience, starting style, then review. Three progress chapters organize the questions. Customers can inspect and revise earlier answers or skip optional ones. The interface identifies guided mode and uses no simulated inference or artificial typing delay. Six default avatars and private photo upload remain available in Profile.</w:t>
      </w:r>
    </w:p>
    <w:p>
      <w:r>
        <w:t>Save each continued answer with its question checkpoint and revision; refresh or another device resumes that question. Name and bio enter model context only after explicit opt-in; email and photo do not. Review the full brief before starting. Project creation, workspace readiness, the Chat receipt and activity event commit atomically. Same-request recovery cannot create a second project. Old clients fall back to the saved chapter when a checkpoint is absent or inconsistent.</w:t>
      </w:r>
    </w:p>
    <w:p>
      <w:r>
        <w:t>Direct links to workspace sections show welcome until a project exists or welcome has already completed. Existing customers with projects skip this gate. Chat and dashboard queries do not run before the gate opens. Deleting a later project does not erase historical onboarding completion.</w:t>
      </w:r>
    </w:p>
    <w:p>
      <w:pPr>
        <w:pStyle w:val="Heading2"/>
      </w:pPr>
      <w:r>
        <w:rPr>
          <w:color w:val="000000"/>
        </w:rPr>
        <w:t>Chat as the primary workspace</w:t>
      </w:r>
    </w:p>
    <w:p>
      <w:r>
        <w:t>Chat is the first and default tab. It occupies its own view; Dashboard does not keep a second chat panel beside it. The desktop sidebar has the brand above navigation, Settings at the lower left and the profile picture at the lower right. Email appears in Profile, not in the sidebar. Mobile navigation and input handling are designed around the phone viewport.</w:t>
      </w:r>
    </w:p>
    <w:p>
      <w:r>
        <w:t>Dashboard combines stable service controls with supported agent-configurable widgets and project workflow tabs. Customers ask the agent to create a workflow page; there is no generic Add workspace button. Generated tabs use an allowlisted layout schema, not arbitrary model-written scripts. Unconnected metrics must say unavailable. Traffic and processing telemetry must never be invented.</w:t>
      </w:r>
    </w:p>
    <w:p>
      <w:pPr>
        <w:pStyle w:val="Heading2"/>
      </w:pPr>
      <w:r>
        <w:rPr>
          <w:color w:val="000000"/>
        </w:rPr>
        <w:t>Identity and recovery</w:t>
      </w:r>
    </w:p>
    <w:p>
      <w:r>
        <w:t>Passkeys are the default signup and sign-in path. The platform checks relying-party identity, origin, challenge, user verification and signature. Challenges are single-use, browser-bound and short-lived. Optional passwords, rotating recovery codes, session revocation and recent-authentication checks support recovery and account security. Human Turnstile completion and native synced passkeys still need physical-device acceptance.</w:t>
      </w:r>
    </w:p>
    <w:p>
      <w:r>
        <w:t>Profile contains name, photo, bio, email and account authentication controls. Settings contains appearance, billing, usage and external connections. Chat can lead customers to these controls; provider consent and native credential prompts remain in the appropriate trusted interface.</w:t>
      </w:r>
    </w:p>
    <w:p>
      <w:pPr>
        <w:pStyle w:val="Heading2"/>
      </w:pPr>
      <w:r>
        <w:rPr>
          <w:color w:val="000000"/>
        </w:rPr>
        <w:t>Verified handoff</w:t>
      </w:r>
    </w:p>
    <w:p>
      <w:r>
        <w:t>Chat offers Build my first draft for the original welcome project, using its complete saved brief even when newer projects displace it from the usual context window. One model call may propose a private preview for that exact project or ask a clarification. An atomic claim prevents a duplicate first version during retries, competing builds or project deletion. A real Muse probe against disposable local state created one draft in one call, spent 9 test units, retained details beyond character 240 and excluded an unshared bio. Replay made no extra call. A 390px browser journey verified the result and reload; physical touch remains unverified.</w:t>
      </w:r>
    </w:p>
    <w:p>
      <w:pPr>
        <w:pStyle w:val="Heading1"/>
        <w:keepNext/>
        <w:pageBreakBefore w:val="0"/>
        <w:spacing w:before="360"/>
      </w:pPr>
      <w:r>
        <w:rPr>
          <w:color w:val="000000"/>
        </w:rPr>
        <w:t>Architecture and trust boundaries</w:t>
      </w:r>
    </w:p>
    <w:p>
      <w:r>
        <w:t>The product uses TypeScript Workers and a React workspace built with Vite, TypeScript, Tailwind CSS, shadcn-style components, Radix primitives and TanStack Query/Router. Frontend source is authoritative; generated assets are built, never hand-edited.</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tblHeader/>
          <w:cantSplit/>
        </w:trPr>
        <w:tc>
          <w:tcPr>
            <w:tcW w:type="dxa" w:w="2304"/>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Service</w:t>
            </w:r>
          </w:p>
        </w:tc>
        <w:tc>
          <w:tcPr>
            <w:tcW w:type="dxa" w:w="7632"/>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Responsibility and boundary</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tellumo-platform</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Authenticated workspace, identity, conversation, model requests, policy checks, reviews and provider orchestration. Holds platform secrets.</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tellumo-sites</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Public website and approved CMS article delivery. Serves only approved current content and exact approved media. No control-plane authentication or AI secrets.</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tellumo-apps</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Controlled visitor application pages, visitor sessions and project-scoped application operations. Owner accounts and visitor accounts remain distinct.</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tellumo-runtime</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Bounded QuickJS execution for customer backend source. Customer code never runs directly in the control Worker.</w:t>
            </w:r>
          </w:p>
        </w:tc>
      </w:tr>
    </w:tbl>
    <w:p>
      <w:pPr>
        <w:spacing w:after="0"/>
      </w:pPr>
    </w:p>
    <w:p>
      <w:pPr>
        <w:pStyle w:val="Heading2"/>
      </w:pPr>
      <w:r>
        <w:rPr>
          <w:color w:val="000000"/>
        </w:rPr>
        <w:t>Data and resource ownership</w:t>
      </w:r>
    </w:p>
    <w:p>
      <w:r>
        <w:t>D1 holds control records including identities, projects, conversation revisions, immutable reviews, versions and ledgers. Resources are checked against the authenticated owner through explicit joins. Database triggers protect exact review identity, revision changes, quotas, atomic updates and replay. A service binding to a database is not itself a read-only database role; public route code must preserve the serving boundary.</w:t>
      </w:r>
    </w:p>
    <w:p>
      <w:r>
        <w:t>The FILES R2 bucket stays private. Authenticated previews and approved public memberships determine which bytes may be returned. A stored object or known object key is never publication authority. Native CMS resources are separately provisioned and registered per reviewed project; platform CMS code alone does not create a customer instance.</w:t>
      </w:r>
    </w:p>
    <w:p>
      <w:pPr>
        <w:pStyle w:val="Heading2"/>
      </w:pPr>
      <w:r>
        <w:rPr>
          <w:color w:val="000000"/>
        </w:rPr>
        <w:t>Action authority</w:t>
      </w:r>
    </w:p>
    <w:p>
      <w:r>
        <w:t>Models return bounded structured proposals. The server validates fields, owner, project, current state and permissions. Unsupported fields or foreign identifiers are rejected. Models cannot confirm reviews, grant credits, set provider destinations, obtain platform secrets or authorize customer DNS changes.</w:t>
      </w:r>
    </w:p>
    <w:p>
      <w:r>
        <w:t>Publication, destructive actions and external writes use explicit user review where required. Approval binds the precise resource, saved revision or artifact, expiry and intended effect. User confirmation and authoritative state changes commit together when local; external operations retain durable receipts and reconcile uncertain outcomes without blindly repeating writes.</w:t>
      </w:r>
    </w:p>
    <w:p>
      <w:pPr>
        <w:pStyle w:val="Heading2"/>
      </w:pPr>
      <w:r>
        <w:rPr>
          <w:color w:val="000000"/>
        </w:rPr>
        <w:t>Future infrastructure</w:t>
      </w:r>
    </w:p>
    <w:p>
      <w:r>
        <w:t>Future workloads may use Durable Objects, Workflows, Queues, Sandbox or Containers after reviewing eligibility, costs, isolation and recovery. These are not current dependencies. General VPS, SSH, arbitrary always-on Docker workloads and mailbox hosting remain outside the present product.</w:t>
      </w:r>
    </w:p>
    <w:p>
      <w:r>
        <w:t>Cloudflare references: Workers https://developers.cloudflare.com/workers/ • D1 https://developers.cloudflare.com/d1/ • Private object delivery https://developers.cloudflare.com/r2/</w:t>
      </w:r>
    </w:p>
    <w:p>
      <w:pPr>
        <w:pStyle w:val="Heading1"/>
        <w:keepNext/>
        <w:pageBreakBefore w:val="0"/>
        <w:spacing w:before="360"/>
      </w:pPr>
      <w:r>
        <w:rPr>
          <w:color w:val="000000"/>
        </w:rPr>
        <w:t>Inference and model routing</w:t>
      </w:r>
    </w:p>
    <w:p>
      <w:pPr>
        <w:pStyle w:val="Heading2"/>
      </w:pPr>
      <w:r>
        <w:rPr>
          <w:color w:val="000000"/>
        </w:rPr>
        <w:t>Current test transport</w:t>
      </w:r>
    </w:p>
    <w:p>
      <w:r>
        <w:t>The server supports OpenAI-compatible Chat Completions and Responses text transports. The operator fixes the HTTPS base URL, model, key and protocol. Redirects are rejected; requests and responses are bounded; errors are sanitized. The live test is pinned to muse-spark-1.3-contributor at https://opencode.ai/zen/go/v1 through Responses. There is no automatic paid fallback.</w:t>
      </w:r>
    </w:p>
    <w:p>
      <w:r>
        <w:t>Contributor prompts and replies may be used for training; the workspace discloses this testing condition. Credentials, recovery codes, private tokens and account-level provider secrets must never enter model context. Photo metadata is not evidence of image pixels. Project facts live in structured records rather than relying entirely on truncated chat history.</w:t>
      </w:r>
    </w:p>
    <w:p>
      <w:pPr>
        <w:pStyle w:val="Heading2"/>
      </w:pPr>
      <w:r>
        <w:rPr>
          <w:color w:val="000000"/>
        </w:rPr>
        <w:t>Interaction timing and recovery</w:t>
      </w:r>
    </w:p>
    <w:p>
      <w:r>
        <w:t>At 700 ms, show a short acknowledgment if the main answer is not ready. Once visible, retain it for at least 1,000 ms before the answer replaces it. An answer ready at 730 ms therefore appears around 1,700 ms. Fast answers suppress the acknowledgment; errors appear immediately; late acknowledgments never overwrite a completed answer. These are UI timing targets, subject to browser scheduling.</w:t>
      </w:r>
    </w:p>
    <w:p>
      <w:r>
        <w:t>Chat messages carry unique IDs and expected revisions. Reserve usage before dispatch, persist the model result and usage receipt before settlement, and recover saved results without another inference call. Confirmed rejection releases the reservation. Unknown provider outcomes retain a hold until reconciliation. A test cost waiver records uncertainty and an audit; it does not claim the provider used zero tokens.</w:t>
      </w:r>
    </w:p>
    <w:p>
      <w:pPr>
        <w:pStyle w:val="Heading2"/>
      </w:pPr>
      <w:r>
        <w:rPr>
          <w:color w:val="000000"/>
        </w:rPr>
        <w:t>API funded beta routing</w:t>
      </w:r>
    </w:p>
    <w:p>
      <w:r>
        <w:t>Route future production inference through Cloudflare AI Gateway. Candidate admission must verify exact API identifiers, protocol, tool/structured-output support, context, privacy requirements, rates and task evaluations. Compare total expected task cost, including likely repairs and retries. Prefer Workers AI where it is competitive; permit external providers when total cost and quality are better. Do not assume cache discounts or free shared capacity.</w:t>
      </w:r>
    </w:p>
    <w:p>
      <w:r>
        <w:t>The route planner, durable spending reservations, OpenAI-compatible gateway transport and single-dispatch service are implemented and locally tested. Saved answers and bounded provider header identifiers support recovery. They are not wired into live Chat or a funded route. Header evidence is not a billable usage receipt. Migrations 0075 and 0076 remain unapplied remotely. Verified rates, funding, consent, invoice reconciliation and live gateway acceptance are still required. Opus, Sol, Astra and Fable remain future candidate names, not verified API identifiers.</w:t>
      </w:r>
    </w:p>
    <w:p>
      <w:pPr>
        <w:pStyle w:val="Heading2"/>
      </w:pPr>
      <w:r>
        <w:rPr>
          <w:color w:val="000000"/>
        </w:rPr>
        <w:t>Premium consent</w:t>
      </w:r>
    </w:p>
    <w:p>
      <w:r>
        <w:t>Premium tasks require customer-approved access and an explicit maximum charge under a versioned tariff. Reserve the cap atomically, settle verified consumption and release only known unused holds. Approval binds owner, task, candidates, tariff and expiry; cumulative task caps cannot be bypassed by splitting attempts. Unknown or over-bound consumption requires reconciliation. No automatic reload, purchase or plan upgrade is authorized.</w:t>
      </w:r>
    </w:p>
    <w:p>
      <w:r>
        <w:t>References: https://developers.cloudflare.com/ai-gateway/ and https://developers.cloudflare.com/workers-ai/. Verify current provider access and pricing before activation; this document makes no claim that a paid route is provisioned.</w:t>
      </w:r>
    </w:p>
    <w:p>
      <w:pPr>
        <w:pStyle w:val="Heading1"/>
        <w:keepNext/>
        <w:pageBreakBefore w:val="0"/>
        <w:spacing w:before="360"/>
      </w:pPr>
      <w:r>
        <w:rPr>
          <w:color w:val="000000"/>
        </w:rPr>
        <w:t>Plans credits and fair use</w:t>
      </w:r>
    </w:p>
    <w:p>
      <w:r>
        <w:t>The following catalogue is the owner’s proposed launch pricing, not an enabled subscription or a representation of underlying Cloudflare cost. Annual pricing uses a ten-month equivalent. Storage and project counts are planning targets requiring calibration.</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152"/>
        <w:gridCol w:w="1224"/>
        <w:gridCol w:w="1728"/>
        <w:gridCol w:w="1152"/>
        <w:gridCol w:w="1440"/>
      </w:tblGrid>
      <w:tr>
        <w:trPr>
          <w:tblHeader/>
          <w:cantSplit/>
        </w:trPr>
        <w:tc>
          <w:tcPr>
            <w:tcW w:type="dxa" w:w="1800"/>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Plan</w:t>
            </w:r>
          </w:p>
        </w:tc>
        <w:tc>
          <w:tcPr>
            <w:tcW w:type="dxa" w:w="1152"/>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Monthly</w:t>
            </w:r>
          </w:p>
        </w:tc>
        <w:tc>
          <w:tcPr>
            <w:tcW w:type="dxa" w:w="1224"/>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Annual</w:t>
            </w:r>
          </w:p>
        </w:tc>
        <w:tc>
          <w:tcPr>
            <w:tcW w:type="dxa" w:w="1728"/>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Annual domains</w:t>
            </w:r>
          </w:p>
        </w:tc>
        <w:tc>
          <w:tcPr>
            <w:tcW w:type="dxa" w:w="1152"/>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Projects</w:t>
            </w:r>
          </w:p>
        </w:tc>
        <w:tc>
          <w:tcPr>
            <w:tcW w:type="dxa" w:w="1440"/>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Files</w:t>
            </w:r>
          </w:p>
        </w:tc>
      </w:tr>
      <w:tr>
        <w:trPr>
          <w:cantSplit/>
        </w:trPr>
        <w:tc>
          <w:tcPr>
            <w:tcW w:type="dxa" w:w="18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Starter</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$17</w:t>
            </w:r>
          </w:p>
        </w:tc>
        <w:tc>
          <w:tcPr>
            <w:tcW w:type="dxa" w:w="122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$170</w:t>
            </w:r>
          </w:p>
        </w:tc>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w:t>
            </w:r>
          </w:p>
        </w:tc>
        <w:tc>
          <w:tcPr>
            <w:tcW w:type="dxa" w:w="144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10 GB</w:t>
            </w:r>
          </w:p>
        </w:tc>
      </w:tr>
      <w:tr>
        <w:trPr>
          <w:cantSplit/>
        </w:trPr>
        <w:tc>
          <w:tcPr>
            <w:tcW w:type="dxa" w:w="18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Personal</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$30</w:t>
            </w:r>
          </w:p>
        </w:tc>
        <w:tc>
          <w:tcPr>
            <w:tcW w:type="dxa" w:w="122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$300</w:t>
            </w:r>
          </w:p>
        </w:tc>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5</w:t>
            </w:r>
          </w:p>
        </w:tc>
        <w:tc>
          <w:tcPr>
            <w:tcW w:type="dxa" w:w="144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50 GB</w:t>
            </w:r>
          </w:p>
        </w:tc>
      </w:tr>
      <w:tr>
        <w:trPr>
          <w:cantSplit/>
        </w:trPr>
        <w:tc>
          <w:tcPr>
            <w:tcW w:type="dxa" w:w="18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Business</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$79</w:t>
            </w:r>
          </w:p>
        </w:tc>
        <w:tc>
          <w:tcPr>
            <w:tcW w:type="dxa" w:w="122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$790</w:t>
            </w:r>
          </w:p>
        </w:tc>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10</w:t>
            </w:r>
          </w:p>
        </w:tc>
        <w:tc>
          <w:tcPr>
            <w:tcW w:type="dxa" w:w="144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200 GB</w:t>
            </w:r>
          </w:p>
        </w:tc>
      </w:tr>
      <w:tr>
        <w:trPr>
          <w:cantSplit/>
        </w:trPr>
        <w:tc>
          <w:tcPr>
            <w:tcW w:type="dxa" w:w="18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Business Pro</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$139</w:t>
            </w:r>
          </w:p>
        </w:tc>
        <w:tc>
          <w:tcPr>
            <w:tcW w:type="dxa" w:w="122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$1,390</w:t>
            </w:r>
          </w:p>
        </w:tc>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2</w:t>
            </w:r>
          </w:p>
        </w:tc>
        <w:tc>
          <w:tcPr>
            <w:tcW w:type="dxa" w:w="115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25</w:t>
            </w:r>
          </w:p>
        </w:tc>
        <w:tc>
          <w:tcPr>
            <w:tcW w:type="dxa" w:w="144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500 GB</w:t>
            </w:r>
          </w:p>
        </w:tc>
      </w:tr>
    </w:tbl>
    <w:p>
      <w:pPr>
        <w:spacing w:after="0"/>
      </w:pPr>
    </w:p>
    <w:p>
      <w:r>
        <w:t>Annual benefits propose eligible standard registrations or renewals up to $20 wholesale each; premium domains are excluded. Quote differences do not constitute a retail invoice or purchase. Redemption, funding, customer ownership, renewal and transfer-out handling remain unfinished. BYOC/BYOI and Enterprise are contact-led proposals, not self-service provisioning. No payment or registrar charge is enabled.</w:t>
      </w:r>
    </w:p>
    <w:p>
      <w:pPr>
        <w:pStyle w:val="Heading2"/>
      </w:pPr>
      <w:r>
        <w:rPr>
          <w:color w:val="000000"/>
        </w:rPr>
        <w:t>Test credits are a separate system</w:t>
      </w:r>
    </w:p>
    <w:p>
      <w:r>
        <w:t>Explore currently has 50 monthly test units. One build unit is the ceiling of input tokens plus four times output tokens, divided by 1,000. Existing test-credit overage requires opt-in. The legacy $5 for 100 test-credit mechanic is not a dollar wallet or the future premium tariff. Standard paid-plan launch assistance is intended to be unlimited under fair use. Payment activation remains deferred because the owner has no Stripe account.</w:t>
      </w:r>
    </w:p>
    <w:p>
      <w:pPr>
        <w:pStyle w:val="Heading2"/>
      </w:pPr>
      <w:r>
        <w:rPr>
          <w:color w:val="000000"/>
        </w:rPr>
        <w:t>Monitor is the default</w:t>
      </w:r>
    </w:p>
    <w:p>
      <w:r>
        <w:t>Monitor records internal observations without user warnings, throttling or fair-use blocks. High cost alone is not abuse. Watch for sustained unrelated chatbot use and repeated AI-create/export/delete cycles, considering legitimate workload context. Separately funded premium work and platform-caused waste are excluded from customer abuse scoring, while company accounting retains the expense.</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04"/>
        <w:gridCol w:w="3600"/>
        <w:gridCol w:w="2160"/>
      </w:tblGrid>
      <w:tr>
        <w:trPr>
          <w:tblHeader/>
          <w:cantSplit/>
        </w:trPr>
        <w:tc>
          <w:tcPr>
            <w:tcW w:type="dxa" w:w="1728"/>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Tier</w:t>
            </w:r>
          </w:p>
        </w:tc>
        <w:tc>
          <w:tcPr>
            <w:tcW w:type="dxa" w:w="2304"/>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30 day cost bands</w:t>
            </w:r>
          </w:p>
        </w:tc>
        <w:tc>
          <w:tcPr>
            <w:tcW w:type="dxa" w:w="3600"/>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7 day turns observe or review</w:t>
            </w:r>
          </w:p>
        </w:tc>
        <w:tc>
          <w:tcPr>
            <w:tcW w:type="dxa" w:w="2160"/>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Export delete cycles</w:t>
            </w:r>
          </w:p>
        </w:tc>
      </w:tr>
      <w:tr>
        <w:trPr>
          <w:cantSplit/>
        </w:trPr>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Starter</w:t>
            </w:r>
          </w:p>
        </w:tc>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$3 / $6 / $10</w:t>
            </w:r>
          </w:p>
        </w:tc>
        <w:tc>
          <w:tcPr>
            <w:tcW w:type="dxa" w:w="36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100 / 250</w:t>
            </w:r>
          </w:p>
        </w:tc>
        <w:tc>
          <w:tcPr>
            <w:tcW w:type="dxa" w:w="216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3</w:t>
            </w:r>
          </w:p>
        </w:tc>
      </w:tr>
      <w:tr>
        <w:trPr>
          <w:cantSplit/>
        </w:trPr>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Personal</w:t>
            </w:r>
          </w:p>
        </w:tc>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$6 / $12 / $20</w:t>
            </w:r>
          </w:p>
        </w:tc>
        <w:tc>
          <w:tcPr>
            <w:tcW w:type="dxa" w:w="36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250 / 600</w:t>
            </w:r>
          </w:p>
        </w:tc>
        <w:tc>
          <w:tcPr>
            <w:tcW w:type="dxa" w:w="216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6</w:t>
            </w:r>
          </w:p>
        </w:tc>
      </w:tr>
      <w:tr>
        <w:trPr>
          <w:cantSplit/>
        </w:trPr>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Business</w:t>
            </w:r>
          </w:p>
        </w:tc>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$16 / $32 / $50</w:t>
            </w:r>
          </w:p>
        </w:tc>
        <w:tc>
          <w:tcPr>
            <w:tcW w:type="dxa" w:w="36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750 / 1,800</w:t>
            </w:r>
          </w:p>
        </w:tc>
        <w:tc>
          <w:tcPr>
            <w:tcW w:type="dxa" w:w="216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12</w:t>
            </w:r>
          </w:p>
        </w:tc>
      </w:tr>
      <w:tr>
        <w:trPr>
          <w:cantSplit/>
        </w:trPr>
        <w:tc>
          <w:tcPr>
            <w:tcW w:type="dxa" w:w="1728"/>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Business Pro</w:t>
            </w:r>
          </w:p>
        </w:tc>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$28 / $56 / $90</w:t>
            </w:r>
          </w:p>
        </w:tc>
        <w:tc>
          <w:tcPr>
            <w:tcW w:type="dxa" w:w="360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1,500 / 3,500</w:t>
            </w:r>
          </w:p>
        </w:tc>
        <w:tc>
          <w:tcPr>
            <w:tcW w:type="dxa" w:w="2160"/>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20</w:t>
            </w:r>
          </w:p>
        </w:tc>
      </w:tr>
    </w:tbl>
    <w:p>
      <w:pPr>
        <w:spacing w:after="0"/>
      </w:pPr>
    </w:p>
    <w:p>
      <w:r>
        <w:t>These thresholds are initial observation hypotheses, not enforced caps or validated economics. Active enforcement remains unimplemented. A private operator report now compares adjacent closed periods of earned revenue and seven expense categories; absent values remain unknown. Revenue within 5 percent, falling profit and a margin decline of at least 5 percentage points can suggest review. Inputs are operator-attested, never independently verified. The report cannot change Monitor mode or restrict a customer. Actual financial ingestion, reconciliation, individual review, notice, continued-misuse evidence and appeals remain open. The operator may retain Monitor despite outliers.</w:t>
      </w:r>
    </w:p>
    <w:p>
      <w:pPr>
        <w:pStyle w:val="Heading1"/>
        <w:keepNext/>
        <w:pageBreakBefore w:val="0"/>
        <w:spacing w:before="360"/>
      </w:pPr>
      <w:r>
        <w:rPr>
          <w:color w:val="000000"/>
        </w:rPr>
        <w:t>Website and application delivery</w:t>
      </w:r>
    </w:p>
    <w:p>
      <w:pPr>
        <w:pStyle w:val="Heading2"/>
      </w:pPr>
      <w:r>
        <w:rPr>
          <w:color w:val="000000"/>
        </w:rPr>
        <w:t>Build preview publish and restore</w:t>
      </w:r>
    </w:p>
    <w:p>
      <w:r>
        <w:t>Trusted website components assemble bounded configuration into immutable saved HTML. Private previews and source archives are owner-scoped; drafts do not affect public serving. Exact publication reviews identify the project, destination, version and current publication revision. The Chat review link opens the matching pending review, including restore and unpublish. Stale or expired reviews are rejected.</w:t>
      </w:r>
    </w:p>
    <w:p>
      <w:r>
        <w:t>Confirmed publication changes the current version pointer and writes activity atomically. Restoring selects an exact retained artifact rather than regenerating it. Publication changes disable attached contact or backend forms until their own review is renewed. Unpublishing stops future public delivery but retains private versions. Copies already downloaded cannot be revoked.</w:t>
      </w:r>
    </w:p>
    <w:p>
      <w:r>
        <w:t>Bounded JPEG uploads support same-project photo references. Source export contains the chosen website and its assets; it excludes accounts, credentials, billing, chat and general backend data. Unused photo/version deletion uses separate reviews and retains resources required for active publication or recovery. Whole-account erasure and general backup retention remain open.</w:t>
      </w:r>
    </w:p>
    <w:p>
      <w:pPr>
        <w:pStyle w:val="Heading2"/>
      </w:pPr>
      <w:r>
        <w:rPr>
          <w:color w:val="000000"/>
        </w:rPr>
        <w:t>Controlled dynamic services</w:t>
      </w:r>
    </w:p>
    <w:p>
      <w:r>
        <w:t>Contact forms deliver to the owner’s private inbox. The inbox is not automatically supplied to the model. Directory data uses bounded, reviewed CRUD, publication snapshots, private export and restoration. Backend functions execute only in the separate bounded QuickJS service. Backend source versions, test runs, activation, data changes and form/page publication use their own contracts and approval boundaries.</w:t>
      </w:r>
    </w:p>
    <w:p>
      <w:r>
        <w:t>Controlled visitor applications have scoped visitor accounts, sessions and data. Their authentication and public pages are separate from workspace identity. A deployed runtime is not permission to execute arbitrary generated source in the platform Worker. General application schemas, customer schedules, unrestricted dependencies and broader migration/rollback workflows still require implementation and acceptance.</w:t>
      </w:r>
    </w:p>
    <w:p>
      <w:pPr>
        <w:pStyle w:val="Heading2"/>
      </w:pPr>
      <w:r>
        <w:rPr>
          <w:color w:val="000000"/>
        </w:rPr>
        <w:t>Safe reusable code</w:t>
      </w:r>
    </w:p>
    <w:p>
      <w:r>
        <w:t>The shared library contains platform-authored generic components with version, digest, license and provenance. The current pure backend helpers include line-total and text-statistics. Reuse creates a private exact copy for the owning project; it does not execute, test, publish or activate that copy automatically. Withdrawal stops new adoption without silently rewriting existing copies.</w:t>
      </w:r>
    </w:p>
    <w:p>
      <w:r>
        <w:t>Never populate shared snippets by harvesting private customer source, prompts, data or credentials. Future customer-code promotion requires explicit provenance and license review, sensitive-data screening, tenant-data removal, reproducible checks and controlled version/withdrawal behavior. Customize only the customer’s private copy. Jarvis reuse decisions are recorded in docs/jarvis-reuse.md.</w:t>
      </w:r>
    </w:p>
    <w:p>
      <w:pPr>
        <w:pStyle w:val="Heading2"/>
      </w:pPr>
      <w:r>
        <w:rPr>
          <w:color w:val="000000"/>
        </w:rPr>
        <w:t>Acceptance scope</w:t>
      </w:r>
    </w:p>
    <w:p>
      <w:r>
        <w:t>Connected local HTTP acceptance covers welcome, private preview/export, publish, private replacement, stale review, exact restore and unpublish through the actual platform and site-host handlers. Live Muse tests separately cover creation/editing and welcome handoff. These results do not prove every application workload, physical phone, live custom domain or disaster-recovery scenario.</w:t>
      </w:r>
    </w:p>
    <w:p>
      <w:pPr>
        <w:pStyle w:val="Heading1"/>
        <w:keepNext/>
        <w:pageBreakBefore w:val="0"/>
        <w:spacing w:before="360"/>
      </w:pPr>
      <w:r>
        <w:rPr>
          <w:color w:val="000000"/>
        </w:rPr>
        <w:t>CMS domains and optional accounts</w:t>
      </w:r>
    </w:p>
    <w:p>
      <w:pPr>
        <w:pStyle w:val="Heading2"/>
      </w:pPr>
      <w:r>
        <w:rPr>
          <w:color w:val="000000"/>
        </w:rPr>
        <w:t>EmDash and WordPress</w:t>
      </w:r>
    </w:p>
    <w:p>
      <w:r>
        <w:t>EmDash 1.0.1 support includes isolated workload preparation, private post/page editing, excerpts, media, exact preview and publication reviews. WordPress exports retain private source bytes and produce explicit article imports. New reviews can include supported root categories and tags, with exact labels and slugs and a maximum of 20 terms. Unsupported hierarchy, translations, custom taxonomy or ambiguous assignments stop the mapping review. Media, themes, plugins and accounts are not imported.</w:t>
      </w:r>
    </w:p>
    <w:p>
      <w:r>
        <w:t>Approved imports reserve one native draft identity, reconcile exact matching definitions and terms, and apply initial taxonomy assignments before the control database exposes the draft. Lost responses reuse the original review and native receipts. This is not a transaction across the control and native databases: unfinished private native objects may remain for recovery. Actual built EmDash tests recovered four imports as exactly four articles. No customer CMS instance is currently registered. First live provisioning and customer acceptance still require the concrete resource and customer review.</w:t>
      </w:r>
    </w:p>
    <w:p>
      <w:pPr/>
      <w:r>
        <w:t>Customers can use /cms-pending to find saved setup, import, draft, edit, publish, unpublish and discard work, with exact review or recovery commands. The owner-scoped inventory is paginated and omits completed or expired unapproved work. Opening it makes no provider calls and confirms nothing. Import-backed drafts appear under their original import review; uploads remain in the publishing desk.</w:t>
      </w:r>
    </w:p>
    <w:p>
      <w:pPr/>
      <w:r>
        <w:t>Operator recovery tooling pairs logical database captures with private media manifests, verifies digests and restores into disposable local stores. Actual EmDash boots and edits successfully after the local restore. Full production recovery still requires coordinated write quiescence, keys and artifacts, control/publication state, isolated provider restoration and reviewed traffic switching.</w:t>
      </w:r>
    </w:p>
    <w:p>
      <w:pPr>
        <w:pStyle w:val="Heading2"/>
      </w:pPr>
      <w:r>
        <w:rPr>
          <w:color w:val="000000"/>
        </w:rPr>
        <w:t>Existing domains</w:t>
      </w:r>
    </w:p>
    <w:p>
      <w:r>
        <w:t>Owner-scoped TXT proofs establish current hostname ownership. Verification does not register the domain, issue TLS or connect hosting. The user can remove an unused proof after review; hosting or Cloudflare DNS references are retained for recovery. Removal never edits external DNS records.</w:t>
      </w:r>
    </w:p>
    <w:p>
      <w:r>
        <w:t>Custom-hostname hosting implementation validates proof and routing, pins provider IDs and requires active hostname/TLS status before a short serving lease. Disconnect removes public serving authority before provider cleanup. Unknown creation outcomes require reconciliation; do not issue a blind second request or adopt a resource by name. Platform credentials and origin configuration remain setup gated, with real DNS/TLS acceptance outstanding.</w:t>
      </w:r>
    </w:p>
    <w:p>
      <w:pPr>
        <w:pStyle w:val="Heading2"/>
      </w:pPr>
      <w:r>
        <w:rPr>
          <w:color w:val="000000"/>
        </w:rPr>
        <w:t>Optional customer authorization</w:t>
      </w:r>
    </w:p>
    <w:p>
      <w:r>
        <w:t>GitHub App and Cloudflare OAuth connections use session-bound authorization, encrypted credentials and local disconnect/revocation. Operator GitHub, Wrangler or Cloudflare keys never stand in for customer consent. Models can discover allowed resources and prepare reviews; they cannot grant permissions or access credential values.</w:t>
      </w:r>
    </w:p>
    <w:p>
      <w:r>
        <w:t>GitHub backups pin the saved artifact, repository, branch and expected head. Confirmed writes create readable source with exact receipt recovery; uncertain writes are observed rather than repeated. Customer DNS reviews pin the authorized zone, complete inventory and exact TXT/CNAME operation. Provider writes require separate confirmation and cannot overwrite unrelated records.</w:t>
      </w:r>
    </w:p>
    <w:p>
      <w:pPr>
        <w:pStyle w:val="Heading2"/>
      </w:pPr>
      <w:r>
        <w:rPr>
          <w:color w:val="000000"/>
        </w:rPr>
        <w:t>Purchases and larger deployments</w:t>
      </w:r>
    </w:p>
    <w:p>
      <w:r>
        <w:t>Domain purchases remain disabled. Activation requires authoritative availability and price, registration and renewal terms, supported extensions, funding, ownership and transfer policy, explicit confirmation and uncertain-result reconciliation. Annual benefits need their own ledger. BYOC/BYOI remains contact-led; the agent may draft an inquiry, but sending a message requires the customer’s authorization.</w:t>
      </w:r>
    </w:p>
    <w:p>
      <w:r>
        <w:t>References: https://developers.cloudflare.com/cloudflare-for-platforms/cloudflare-for-saas/ • https://developers.cloudflare.com/registrar/registrar-api/ • https://docs.emdashcms.com/deployment/cloudflare/. Product presence or a documentation page is not proof of account eligibility, provider enrollment or an enabled Whumpo capability.</w:t>
      </w:r>
    </w:p>
    <w:p>
      <w:pPr>
        <w:pStyle w:val="Heading1"/>
        <w:keepNext/>
        <w:pageBreakBefore w:val="0"/>
        <w:spacing w:before="360"/>
      </w:pPr>
      <w:r>
        <w:rPr>
          <w:color w:val="000000"/>
        </w:rPr>
        <w:t>Operations and release discipline</w:t>
      </w:r>
    </w:p>
    <w:p>
      <w:pPr>
        <w:pStyle w:val="Heading2"/>
      </w:pPr>
      <w:r>
        <w:rPr>
          <w:color w:val="000000"/>
        </w:rPr>
        <w:t>Source and configuration</w:t>
      </w:r>
    </w:p>
    <w:p>
      <w:r>
        <w:t>Source resides in the private zemdregon/whumpo repository. TypeScript Workers are in src; the React UI is in frontend; controlled visitor assets are in public-app, with visitor build source in web/visitor.js. Root wrangler configurations define the four services. Numbered migrations under migrations govern platform D1 changes. Native EmDash migrations live separately under integrations/emdash/migrations and must never be applied to the control database. Code tooling uses Node.js 24 and pnpm 11.</w:t>
      </w:r>
    </w:p>
    <w:p>
      <w:r>
        <w:t>Treat deployed infrastructure as test unless explicitly directed otherwise. Local development uses ENVIRONMENT=local and must not be exposed publicly. Do not commit ignored credentials, session cookies, recovery codes or private customer fixtures. Preserve unrelated working-tree changes; inspect the diff before release.</w:t>
      </w:r>
    </w:p>
    <w:p>
      <w:pPr>
        <w:pStyle w:val="Heading2"/>
      </w:pPr>
      <w:r>
        <w:rPr>
          <w:color w:val="000000"/>
        </w:rPr>
        <w:t>Release procedure</w:t>
      </w:r>
    </w:p>
    <w:p>
      <w:pPr>
        <w:pStyle w:val="ListBullet"/>
      </w:pPr>
      <w:r>
        <w:t>Read the relevant feature contract and inspect current source and active deployment. Run focused tests that exercise its actual boundaries; use pnpm check for both TypeScript projects and pnpm build for generated assets.</w:t>
      </w:r>
    </w:p>
    <w:p>
      <w:pPr>
        <w:pStyle w:val="ListBullet"/>
      </w:pPr>
      <w:r>
        <w:t>Apply required migrations before dependent code. Build the authoritative frontend. Deploy the platform through tools/deploy-platform.mjs so registered CMS service bindings and deployment coordination are preserved. The full tools/deploy.mjs path also handles runtime, visitor and site services.</w:t>
      </w:r>
    </w:p>
    <w:p>
      <w:pPr>
        <w:pStyle w:val="ListBullet"/>
      </w:pPr>
      <w:r>
        <w:t>Verify the active Worker version, migration state, relevant bindings and health. Compare deployed assets with the tested build. Test authentication/origin denial and the changed journey at the appropriate scope.</w:t>
      </w:r>
    </w:p>
    <w:p>
      <w:pPr>
        <w:pStyle w:val="ListBullet"/>
      </w:pPr>
      <w:r>
        <w:t>Record exact evidence and remaining limitations in the feature document. A successful upload, a disabled endpoint or a synthetic provider reply must not be described as live customer acceptance.</w:t>
      </w:r>
    </w:p>
    <w:p>
      <w:pPr>
        <w:pStyle w:val="Heading2"/>
      </w:pPr>
      <w:r>
        <w:rPr>
          <w:color w:val="000000"/>
        </w:rPr>
        <w:t>Recovery procedure</w:t>
      </w:r>
    </w:p>
    <w:p>
      <w:r>
        <w:t>For a lost response, read the durable receipt using the original operation ID before retrying. Never create a new ID to work around an uncertain billable or external operation. For a site rollback, review and confirm the retained version; do not regenerate it. Customer backend data, directories, CMS databases and CMS media each need their own reviewed recovery source and validation.</w:t>
      </w:r>
    </w:p>
    <w:p>
      <w:r>
        <w:t>Preserve current secrets and CMS bindings during platform rollback. Database migration rollback is not equivalent to deploying an older Worker. Investigate schema compatibility and use a reviewed recovery plan. Full disaster-recovery drills, deletion/anonymization, transcript/audit retention, provider-invoice reconciliation and active abuse operations remain required before broad launch.</w:t>
      </w:r>
    </w:p>
    <w:p>
      <w:pPr>
        <w:pStyle w:val="Heading2"/>
      </w:pPr>
      <w:r>
        <w:rPr>
          <w:color w:val="000000"/>
        </w:rPr>
        <w:t>Verified live snapshot</w:t>
      </w:r>
    </w:p>
    <w:p>
      <w:r>
        <w:t>Read-only inspection on September 30, 2026 confirmed platform version 2304496a-7c65-429c-a201-72254448b33e at 100 percent, Monitor mode and zero registered CMS instances. Recent applied migrations are 0074, 0077, 0078 and 0079; gateway migrations 0075 and 0076 remain inactive. Secret-name inspection confirms AI, Turnstile, password and Cloudflare OAuth/encryption configuration. GitHub and Stripe secret sets are absent. Configured OAuth does not prove customer consent or DNS acceptance. No credential values or customer content were printed or collected for this document.</w:t>
      </w:r>
    </w:p>
    <w:p>
      <w:pPr>
        <w:pStyle w:val="Heading1"/>
        <w:keepNext/>
        <w:pageBreakBefore w:val="0"/>
        <w:spacing w:before="360"/>
      </w:pPr>
      <w:r>
        <w:rPr>
          <w:color w:val="000000"/>
        </w:rPr>
        <w:t>MVP exit gates and evidence</w:t>
      </w:r>
    </w:p>
    <w:p>
      <w:r>
        <w:t>Keep the full MVP scope open until the required customer outcomes are verified. Setup gates and intentionally deferred payment activation are explicit dependencies, not completed features.</w:t>
      </w:r>
    </w:p>
    <w:tbl>
      <w:tblPr>
        <w:tblStyle w:val="LightShading-Accent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tblHeader/>
          <w:cantSplit/>
        </w:trPr>
        <w:tc>
          <w:tcPr>
            <w:tcW w:type="dxa" w:w="2304"/>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Requirement</w:t>
            </w:r>
          </w:p>
        </w:tc>
        <w:tc>
          <w:tcPr>
            <w:tcW w:type="dxa" w:w="7632"/>
            <w:vAlign w:val="center"/>
            <w:shd w:fill="DDEBF7"/>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Evidence and remaining gate</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Account and first project</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rPr>
              <w:t>Persisted question checkpoints, private pictures and single-project completion verified. One-call Muse first draft and browser reload verified locally. Human challenge and synced passkeys still need real devices.</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Website lifecycle</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Connected local handlers verify preview/export, confirmation replay, replacement, restore and unpublish. Keep real device and full workload acceptance separate.</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Images and applications</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Bounded photo, QuickJS, visitor/data and review tests exist. Broader app coverage, general migrations and recovery remain open.</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CMS and migration</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rPr>
              <w:t>Actual EmDash verifies resumable reviewed category/tag imports and content recovery. Chat exposes pending work. First live tenant, broader metadata/media migration and production disaster recovery remain open.</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Domains and accounts</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Proof and reviewed provider workflows implemented. Real customer consent, backup, origin/TLS/serving/disconnect acceptance require setup.</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Commerce and routing</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rPr>
              <w:t>Catalogue, test ledgers, planner, transport, single dispatch and provider-header recovery foundations exist. Payments, benefits, funded tariffs, invoice reconciliation and live gateway routing remain inactive.</w:t>
            </w:r>
          </w:p>
        </w:tc>
      </w:tr>
      <w:tr>
        <w:trPr>
          <w:cantSplit/>
        </w:trPr>
        <w:tc>
          <w:tcPr>
            <w:tcW w:type="dxa" w:w="2304"/>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sz w:val="19"/>
              </w:rPr>
              <w:t>Fair use and operations</w:t>
            </w:r>
          </w:p>
        </w:tc>
        <w:tc>
          <w:tcPr>
            <w:tcW w:type="dxa" w:w="7632"/>
            <w:vAlign w:val="center"/>
            <w:shd w:fill="FFFFFF"/>
            <w:tcMar>
              <w:top w:w="70" w:type="dxa"/>
              <w:bottom w:w="70" w:type="dxa"/>
              <w:left w:w="70" w:type="dxa"/>
              <w:right w:w="70" w:type="dxa"/>
            </w:tcMar>
            <w:tcBorders>
              <w:top w:val="single" w:sz="4" w:color="D9D9D9"/>
              <w:bottom w:val="single" w:sz="4" w:color="D9D9D9"/>
              <w:left w:val="single" w:sz="4" w:color="D9D9D9"/>
              <w:right w:val="single" w:sz="4" w:color="D9D9D9"/>
            </w:tcBorders>
          </w:tcPr>
          <w:p>
            <w:pPr>
              <w:spacing w:after="40"/>
            </w:pPr>
            <w:r>
              <w:rPr>
                <w:color w:val="000000"/>
              </w:rPr>
              <w:t>Monitor deployed; aggregate finance comparison is operator-only and cannot enforce. Verified economics, customer review/appeals, retention, account lifecycle and production recovery remain unfinished.</w:t>
            </w:r>
          </w:p>
        </w:tc>
      </w:tr>
    </w:tbl>
    <w:p>
      <w:pPr>
        <w:spacing w:after="0"/>
      </w:pPr>
    </w:p>
    <w:p>
      <w:pPr>
        <w:pStyle w:val="Heading2"/>
      </w:pPr>
      <w:r>
        <w:rPr>
          <w:color w:val="000000"/>
        </w:rPr>
        <w:t>Evidence to reproduce</w:t>
      </w:r>
    </w:p>
    <w:p>
      <w:r>
        <w:t>Focused scripts include pnpm test:onboarding-welcome, test:profile, test:welcome-first-draft, test:customer-site-journey, test:cms-mapped-import, test:cms-pending, test:fair-use-finance and test:gateway-inference. The opt-in RUN_LIVE_MUSE=1 pnpm test:welcome-ai-live uses the authorized subscription and disposable state. Feature documents record prior runs and their scope; this document update reran welcome and profile checks only, alongside read-only deployment inspection and document layout verification. Inspect each script and its prerequisites before use.</w:t>
      </w:r>
    </w:p>
    <w:p>
      <w:pPr>
        <w:pStyle w:val="Heading2"/>
      </w:pPr>
      <w:r>
        <w:rPr>
          <w:color w:val="000000"/>
        </w:rPr>
        <w:t>Detailed source contracts</w:t>
      </w:r>
    </w:p>
    <w:p>
      <w:r>
        <w:t>docs/acceptance.md and docs/mvp.md preserve the requirement map. docs/onboarding.md records welcome and first-draft evidence. docs/pricing-and-model-policy.md and docs/ai-gateway-transport.md cover routing and credits. docs/company-finance-review.md defines operator finance input. docs/workspace-agent.md covers navigation and unfinished publishing work. docs/emdash.md covers CMS and imports; docs/app-data.md covers visitor applications. Shared components, Jarvis reuse, domains and integration contracts remain in their corresponding docs files.</w:t>
      </w:r>
    </w:p>
    <w:p>
      <w:r>
        <w:t>Prioritize first reviewed live CMS acceptance and provider setup when credentials/resources are available; continue independent application, recovery and economics work. Before API-funded beta, verify provider rates and routing quality, funding/consent and cost reconciliation. Finish physical-device and full customer journeys before declaring MVP completion.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Whumpo technical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F2D5B"/>
      <w:sz w:val="42"/>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Arial" w:hAnsi="Arial"/>
      <w:b/>
      <w:bCs/>
      <w:color w:val="0F2D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Whumpo MVP technical design</dc:title>
  <dc:subject>Current architecture delivery and launch gates</dc:subject>
  <dc:creator>Whumpo</dc:creator>
  <cp:keywords>Whumpo MVP architecture onboarding AI</cp:keywords>
  <dc:description>generated by python-docx</dc:description>
  <cp:lastModifiedBy/>
  <cp:revision>1</cp:revision>
  <dcterms:created xsi:type="dcterms:W3CDTF">2013-12-23T23:15:00Z</dcterms:created>
  <dcterms:modified xsi:type="dcterms:W3CDTF">2013-12-23T23:15:00Z</dcterms:modified>
  <cp:category/>
</cp:coreProperties>
</file>