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il" w:color="FFFFFF" w:sz="0"/>
          <w:left w:val="nil" w:color="FFFFFF" w:sz="0"/>
          <w:bottom w:val="nil" w:color="FFFFFF" w:sz="0"/>
          <w:right w:val="nil" w:color="FFFFFF" w:sz="0"/>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3B3B8C" w:val="clear"/>
            <w:tcMar>
              <w:top w:type="dxa" w:w="160"/>
              <w:left w:type="dxa" w:w="260"/>
              <w:bottom w:type="dxa" w:w="160"/>
              <w:right w:type="dxa" w:w="260"/>
            </w:tcMar>
          </w:tcPr>
          <w:p>
            <w:pPr>
              <w:spacing w:after="40" w:before="0"/>
            </w:pPr>
            <w:r>
              <w:rPr>
                <w:rFonts w:ascii="Calibri" w:cs="Calibri" w:eastAsia="Calibri" w:hAnsi="Calibri"/>
                <w:color w:val="AAAADD"/>
                <w:sz w:val="20"/>
                <w:szCs w:val="20"/>
              </w:rPr>
              <w:t xml:space="preserve">Module 7  │  Lecture 1</w:t>
            </w:r>
          </w:p>
          <w:p>
            <w:pPr>
              <w:spacing w:after="100" w:before="0"/>
            </w:pPr>
            <w:r>
              <w:rPr>
                <w:rFonts w:ascii="Calibri" w:cs="Calibri" w:eastAsia="Calibri" w:hAnsi="Calibri"/>
                <w:b/>
                <w:bCs/>
                <w:color w:val="FFFFFF"/>
                <w:sz w:val="48"/>
                <w:szCs w:val="48"/>
              </w:rPr>
              <w:t xml:space="preserve">AI-Assisted IoT Development</w:t>
            </w:r>
          </w:p>
          <w:p>
            <w:pPr>
              <w:spacing w:after="40" w:before="0"/>
            </w:pPr>
            <w:r>
              <w:rPr>
                <w:rFonts w:ascii="Calibri" w:cs="Calibri" w:eastAsia="Calibri" w:hAnsi="Calibri"/>
                <w:color w:val="C8C0E8"/>
                <w:sz w:val="22"/>
                <w:szCs w:val="22"/>
              </w:rPr>
              <w:t xml:space="preserve">Building sensor networks for natural hazard monitoring — from MPU6050, BMP280, and capacitive soil moisture sensors through MQTT, InfluxDB, Grafana, and multi-channel alert dissemination</w:t>
            </w:r>
          </w:p>
        </w:tc>
      </w:tr>
    </w:tbl>
    <w:p>
      <w:pPr>
        <w:spacing w:after="100" w:before="0"/>
      </w:pPr>
    </w:p>
    <w:tbl>
      <w:tblPr>
        <w:tblW w:type="dxa" w:w="9746"/>
        <w:tblBorders>
          <w:top w:val="nil" w:color="FFFFFF" w:sz="0"/>
          <w:left w:val="nil" w:color="FFFFFF" w:sz="0"/>
          <w:bottom w:val="nil" w:color="FFFFFF" w:sz="0"/>
          <w:right w:val="nil" w:color="FFFFFF" w:sz="0"/>
          <w:insideH w:val="single" w:color="auto" w:sz="4"/>
          <w:insideV w:val="single" w:color="auto" w:sz="4"/>
        </w:tblBorders>
      </w:tblPr>
      <w:tblGrid>
        <w:gridCol w:w="3248"/>
        <w:gridCol w:w="3248"/>
        <w:gridCol w:w="3248"/>
      </w:tblGrid>
      <w:tr>
        <w:tc>
          <w:tcPr>
            <w:tcW w:type="dxa" w:w="3248"/>
            <w:tcBorders>
              <w:top w:val="nil" w:color="FFFFFF" w:sz="0"/>
              <w:left w:val="nil" w:color="FFFFFF" w:sz="0"/>
              <w:bottom w:val="nil" w:color="FFFFFF" w:sz="0"/>
              <w:right w:val="nil" w:color="FFFFFF" w:sz="0"/>
            </w:tcBorders>
            <w:shd w:fill="EEF0F8" w:val="clear"/>
            <w:tcMar>
              <w:top w:type="dxa" w:w="80"/>
              <w:left w:type="dxa" w:w="140"/>
              <w:bottom w:type="dxa" w:w="80"/>
              <w:right w:type="dxa" w:w="140"/>
            </w:tcMar>
          </w:tcPr>
          <w:p>
            <w:pPr>
              <w:spacing w:after="0" w:before="20"/>
            </w:pPr>
            <w:r>
              <w:rPr>
                <w:rFonts w:ascii="Calibri" w:cs="Calibri" w:eastAsia="Calibri" w:hAnsi="Calibri"/>
                <w:b/>
                <w:bCs/>
                <w:color w:val="3B3B8C"/>
                <w:sz w:val="20"/>
                <w:szCs w:val="20"/>
              </w:rPr>
              <w:t xml:space="preserve">Instructor</w:t>
            </w:r>
          </w:p>
          <w:p>
            <w:pPr>
              <w:spacing w:after="20" w:before="0"/>
            </w:pPr>
            <w:r>
              <w:rPr>
                <w:rFonts w:ascii="Calibri" w:cs="Calibri" w:eastAsia="Calibri" w:hAnsi="Calibri"/>
                <w:color w:val="1C1C2E"/>
                <w:sz w:val="22"/>
                <w:szCs w:val="22"/>
              </w:rPr>
              <w:t xml:space="preserve">DigiHaz UniWA Team</w:t>
            </w:r>
          </w:p>
        </w:tc>
        <w:tc>
          <w:tcPr>
            <w:tcW w:type="dxa" w:w="3248"/>
            <w:tcBorders>
              <w:top w:val="nil" w:color="FFFFFF" w:sz="0"/>
              <w:left w:val="nil" w:color="FFFFFF" w:sz="0"/>
              <w:bottom w:val="nil" w:color="FFFFFF" w:sz="0"/>
              <w:right w:val="nil" w:color="FFFFFF" w:sz="0"/>
            </w:tcBorders>
            <w:shd w:fill="EEF0F8" w:val="clear"/>
            <w:tcMar>
              <w:top w:type="dxa" w:w="80"/>
              <w:left w:type="dxa" w:w="140"/>
              <w:bottom w:type="dxa" w:w="80"/>
              <w:right w:type="dxa" w:w="140"/>
            </w:tcMar>
          </w:tcPr>
          <w:p>
            <w:pPr>
              <w:spacing w:after="0" w:before="20"/>
            </w:pPr>
            <w:r>
              <w:rPr>
                <w:rFonts w:ascii="Calibri" w:cs="Calibri" w:eastAsia="Calibri" w:hAnsi="Calibri"/>
                <w:b/>
                <w:bCs/>
                <w:color w:val="3B3B8C"/>
                <w:sz w:val="20"/>
                <w:szCs w:val="20"/>
              </w:rPr>
              <w:t xml:space="preserve">Date / Version</w:t>
            </w:r>
          </w:p>
          <w:p>
            <w:pPr>
              <w:spacing w:after="20" w:before="0"/>
            </w:pPr>
            <w:r>
              <w:rPr>
                <w:rFonts w:ascii="Calibri" w:cs="Calibri" w:eastAsia="Calibri" w:hAnsi="Calibri"/>
                <w:color w:val="1C1C2E"/>
                <w:sz w:val="22"/>
                <w:szCs w:val="22"/>
              </w:rPr>
              <w:t xml:space="preserve">June 2026  │  v2.0</w:t>
            </w:r>
          </w:p>
        </w:tc>
        <w:tc>
          <w:tcPr>
            <w:tcW w:type="dxa" w:w="3248"/>
            <w:tcBorders>
              <w:top w:val="nil" w:color="FFFFFF" w:sz="0"/>
              <w:left w:val="nil" w:color="FFFFFF" w:sz="0"/>
              <w:bottom w:val="nil" w:color="FFFFFF" w:sz="0"/>
              <w:right w:val="nil" w:color="FFFFFF" w:sz="0"/>
            </w:tcBorders>
            <w:shd w:fill="EEF0F8" w:val="clear"/>
            <w:tcMar>
              <w:top w:type="dxa" w:w="80"/>
              <w:left w:type="dxa" w:w="140"/>
              <w:bottom w:type="dxa" w:w="80"/>
              <w:right w:type="dxa" w:w="140"/>
            </w:tcMar>
          </w:tcPr>
          <w:p>
            <w:pPr>
              <w:spacing w:after="0" w:before="20"/>
            </w:pPr>
            <w:r>
              <w:rPr>
                <w:rFonts w:ascii="Calibri" w:cs="Calibri" w:eastAsia="Calibri" w:hAnsi="Calibri"/>
                <w:b/>
                <w:bCs/>
                <w:color w:val="3B3B8C"/>
                <w:sz w:val="20"/>
                <w:szCs w:val="20"/>
              </w:rPr>
              <w:t xml:space="preserve">Duration</w:t>
            </w:r>
          </w:p>
          <w:p>
            <w:pPr>
              <w:spacing w:after="20" w:before="0"/>
            </w:pPr>
            <w:r>
              <w:rPr>
                <w:rFonts w:ascii="Calibri" w:cs="Calibri" w:eastAsia="Calibri" w:hAnsi="Calibri"/>
                <w:color w:val="1C1C2E"/>
                <w:sz w:val="22"/>
                <w:szCs w:val="22"/>
              </w:rPr>
              <w:t xml:space="preserve">90 min lecture + 3 hr hands-on</w:t>
            </w:r>
          </w:p>
        </w:tc>
      </w:tr>
    </w:tbl>
    <w:p>
      <w:pPr>
        <w:spacing w:after="2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700"/>
        <w:gridCol w:w="9046"/>
      </w:tblGrid>
      <w:tr>
        <w:tc>
          <w:tcPr>
            <w:tcW w:type="dxa" w:w="9746"/>
            <w:gridSpan w:val="2"/>
            <w:tcBorders>
              <w:top w:val="nil" w:color="FFFFFF" w:sz="0"/>
              <w:left w:val="nil" w:color="FFFFFF" w:sz="0"/>
              <w:bottom w:val="nil" w:color="FFFFFF" w:sz="0"/>
              <w:right w:val="nil" w:color="FFFFFF" w:sz="0"/>
            </w:tcBorders>
            <w:shd w:fill="3B3B8C" w:val="clear"/>
            <w:tcMar>
              <w:top w:type="dxa" w:w="80"/>
              <w:left w:type="dxa" w:w="140"/>
              <w:bottom w:type="dxa" w:w="80"/>
              <w:right w:type="dxa" w:w="140"/>
            </w:tcMar>
          </w:tcPr>
          <w:p>
            <w:r>
              <w:rPr>
                <w:rFonts w:ascii="Calibri" w:cs="Calibri" w:eastAsia="Calibri" w:hAnsi="Calibri"/>
                <w:b/>
                <w:bCs/>
                <w:color w:val="FFFFFF"/>
                <w:sz w:val="24"/>
                <w:szCs w:val="24"/>
              </w:rPr>
              <w:t xml:space="preserve">Learning Objectives</w:t>
            </w:r>
          </w:p>
        </w:tc>
      </w:tr>
      <w:tr>
        <w:tc>
          <w:tcPr>
            <w:tcW w:type="dxa" w:w="700"/>
            <w:tcBorders>
              <w:top w:val="single" w:color="FFFFFF" w:sz="4"/>
              <w:left w:val="nil" w:color="FFFFFF" w:sz="0"/>
              <w:bottom w:val="single" w:color="FFFFFF" w:sz="4"/>
              <w:right w:val="nil" w:color="FFFFFF" w:sz="0"/>
            </w:tcBorders>
            <w:shd w:fill="3B3B8C"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01</w:t>
            </w:r>
          </w:p>
        </w:tc>
        <w:tc>
          <w:tcPr>
            <w:tcW w:type="dxa" w:w="9046"/>
            <w:tcBorders>
              <w:top w:val="single" w:color="FFFFFF" w:sz="4"/>
              <w:left w:val="nil" w:color="FFFFFF" w:sz="0"/>
              <w:bottom w:val="single" w:color="FFFFFF" w:sz="4"/>
              <w:right w:val="nil" w:color="FFFFFF" w:sz="0"/>
            </w:tcBorders>
            <w:shd w:fill="EEF0F8" w:val="clear"/>
            <w:tcMar>
              <w:top w:type="dxa" w:w="80"/>
              <w:left w:type="dxa" w:w="140"/>
              <w:bottom w:type="dxa" w:w="80"/>
              <w:right w:type="dxa" w:w="140"/>
            </w:tcMar>
          </w:tcPr>
          <w:p>
            <w:r>
              <w:rPr>
                <w:rFonts w:ascii="Calibri" w:cs="Calibri" w:eastAsia="Calibri" w:hAnsi="Calibri"/>
                <w:color w:val="1C1C2E"/>
                <w:sz w:val="22"/>
                <w:szCs w:val="22"/>
              </w:rPr>
              <w:t xml:space="preserve">Describe the four-layer IoT stack (edge, fog, cloud, application) and identify which layer each piece of code targets</w:t>
            </w:r>
          </w:p>
        </w:tc>
      </w:tr>
      <w:tr>
        <w:tc>
          <w:tcPr>
            <w:tcW w:type="dxa" w:w="700"/>
            <w:tcBorders>
              <w:top w:val="single" w:color="FFFFFF" w:sz="4"/>
              <w:left w:val="nil" w:color="FFFFFF" w:sz="0"/>
              <w:bottom w:val="single" w:color="FFFFFF" w:sz="4"/>
              <w:right w:val="nil" w:color="FFFFFF" w:sz="0"/>
            </w:tcBorders>
            <w:shd w:fill="3B3B8C"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02</w:t>
            </w:r>
          </w:p>
        </w:tc>
        <w:tc>
          <w:tcPr>
            <w:tcW w:type="dxa" w:w="9046"/>
            <w:tcBorders>
              <w:top w:val="single" w:color="FFFFFF" w:sz="4"/>
              <w:left w:val="nil" w:color="FFFFFF" w:sz="0"/>
              <w:bottom w:val="single" w:color="FFFFFF" w:sz="4"/>
              <w:right w:val="nil" w:color="FFFFFF" w:sz="0"/>
            </w:tcBorders>
            <w:shd w:fill="EEF0F8" w:val="clear"/>
            <w:tcMar>
              <w:top w:type="dxa" w:w="80"/>
              <w:left w:type="dxa" w:w="140"/>
              <w:bottom w:type="dxa" w:w="80"/>
              <w:right w:type="dxa" w:w="140"/>
            </w:tcMar>
          </w:tcPr>
          <w:p>
            <w:r>
              <w:rPr>
                <w:rFonts w:ascii="Calibri" w:cs="Calibri" w:eastAsia="Calibri" w:hAnsi="Calibri"/>
                <w:color w:val="1C1C2E"/>
                <w:sz w:val="22"/>
                <w:szCs w:val="22"/>
              </w:rPr>
              <w:t xml:space="preserve">Explain the working principle, interface, and hazard-monitoring application of MPU6050, BMP280, and capacitive soil moisture sensors</w:t>
            </w:r>
          </w:p>
        </w:tc>
      </w:tr>
      <w:tr>
        <w:tc>
          <w:tcPr>
            <w:tcW w:type="dxa" w:w="700"/>
            <w:tcBorders>
              <w:top w:val="single" w:color="FFFFFF" w:sz="4"/>
              <w:left w:val="nil" w:color="FFFFFF" w:sz="0"/>
              <w:bottom w:val="single" w:color="FFFFFF" w:sz="4"/>
              <w:right w:val="nil" w:color="FFFFFF" w:sz="0"/>
            </w:tcBorders>
            <w:shd w:fill="3B3B8C"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03</w:t>
            </w:r>
          </w:p>
        </w:tc>
        <w:tc>
          <w:tcPr>
            <w:tcW w:type="dxa" w:w="9046"/>
            <w:tcBorders>
              <w:top w:val="single" w:color="FFFFFF" w:sz="4"/>
              <w:left w:val="nil" w:color="FFFFFF" w:sz="0"/>
              <w:bottom w:val="single" w:color="FFFFFF" w:sz="4"/>
              <w:right w:val="nil" w:color="FFFFFF" w:sz="0"/>
            </w:tcBorders>
            <w:shd w:fill="EEF0F8" w:val="clear"/>
            <w:tcMar>
              <w:top w:type="dxa" w:w="80"/>
              <w:left w:type="dxa" w:w="140"/>
              <w:bottom w:type="dxa" w:w="80"/>
              <w:right w:type="dxa" w:w="140"/>
            </w:tcMar>
          </w:tcPr>
          <w:p>
            <w:r>
              <w:rPr>
                <w:rFonts w:ascii="Calibri" w:cs="Calibri" w:eastAsia="Calibri" w:hAnsi="Calibri"/>
                <w:color w:val="1C1C2E"/>
                <w:sz w:val="22"/>
                <w:szCs w:val="22"/>
              </w:rPr>
              <w:t xml:space="preserve">Apply the five-step AI-assisted coding workflow (prompt, generate, test, debug, iterate) to produce working IoT firmware</w:t>
            </w:r>
          </w:p>
        </w:tc>
      </w:tr>
      <w:tr>
        <w:tc>
          <w:tcPr>
            <w:tcW w:type="dxa" w:w="700"/>
            <w:tcBorders>
              <w:top w:val="single" w:color="FFFFFF" w:sz="4"/>
              <w:left w:val="nil" w:color="FFFFFF" w:sz="0"/>
              <w:bottom w:val="single" w:color="FFFFFF" w:sz="4"/>
              <w:right w:val="nil" w:color="FFFFFF" w:sz="0"/>
            </w:tcBorders>
            <w:shd w:fill="3B3B8C"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04</w:t>
            </w:r>
          </w:p>
        </w:tc>
        <w:tc>
          <w:tcPr>
            <w:tcW w:type="dxa" w:w="9046"/>
            <w:tcBorders>
              <w:top w:val="single" w:color="FFFFFF" w:sz="4"/>
              <w:left w:val="nil" w:color="FFFFFF" w:sz="0"/>
              <w:bottom w:val="single" w:color="FFFFFF" w:sz="4"/>
              <w:right w:val="nil" w:color="FFFFFF" w:sz="0"/>
            </w:tcBorders>
            <w:shd w:fill="EEF0F8" w:val="clear"/>
            <w:tcMar>
              <w:top w:type="dxa" w:w="80"/>
              <w:left w:type="dxa" w:w="140"/>
              <w:bottom w:type="dxa" w:w="80"/>
              <w:right w:type="dxa" w:w="140"/>
            </w:tcMar>
          </w:tcPr>
          <w:p>
            <w:r>
              <w:rPr>
                <w:rFonts w:ascii="Calibri" w:cs="Calibri" w:eastAsia="Calibri" w:hAnsi="Calibri"/>
                <w:color w:val="1C1C2E"/>
                <w:sz w:val="22"/>
                <w:szCs w:val="22"/>
              </w:rPr>
              <w:t xml:space="preserve">Write structured prompts for IoT code generation that specify board, sensor, interface, timing, calibration, and output destination</w:t>
            </w:r>
          </w:p>
        </w:tc>
      </w:tr>
      <w:tr>
        <w:tc>
          <w:tcPr>
            <w:tcW w:type="dxa" w:w="700"/>
            <w:tcBorders>
              <w:top w:val="single" w:color="FFFFFF" w:sz="4"/>
              <w:left w:val="nil" w:color="FFFFFF" w:sz="0"/>
              <w:bottom w:val="single" w:color="FFFFFF" w:sz="4"/>
              <w:right w:val="nil" w:color="FFFFFF" w:sz="0"/>
            </w:tcBorders>
            <w:shd w:fill="3B3B8C"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05</w:t>
            </w:r>
          </w:p>
        </w:tc>
        <w:tc>
          <w:tcPr>
            <w:tcW w:type="dxa" w:w="9046"/>
            <w:tcBorders>
              <w:top w:val="single" w:color="FFFFFF" w:sz="4"/>
              <w:left w:val="nil" w:color="FFFFFF" w:sz="0"/>
              <w:bottom w:val="single" w:color="FFFFFF" w:sz="4"/>
              <w:right w:val="nil" w:color="FFFFFF" w:sz="0"/>
            </w:tcBorders>
            <w:shd w:fill="EEF0F8" w:val="clear"/>
            <w:tcMar>
              <w:top w:type="dxa" w:w="80"/>
              <w:left w:type="dxa" w:w="140"/>
              <w:bottom w:type="dxa" w:w="80"/>
              <w:right w:type="dxa" w:w="140"/>
            </w:tcMar>
          </w:tcPr>
          <w:p>
            <w:r>
              <w:rPr>
                <w:rFonts w:ascii="Calibri" w:cs="Calibri" w:eastAsia="Calibri" w:hAnsi="Calibri"/>
                <w:color w:val="1C1C2E"/>
                <w:sz w:val="22"/>
                <w:szCs w:val="22"/>
              </w:rPr>
              <w:t xml:space="preserve">Recognise the five common failure modes of LLM-generated IoT code and apply the trust-or-verify boundary appropriately</w:t>
            </w:r>
          </w:p>
        </w:tc>
      </w:tr>
      <w:tr>
        <w:tc>
          <w:tcPr>
            <w:tcW w:type="dxa" w:w="700"/>
            <w:tcBorders>
              <w:top w:val="single" w:color="FFFFFF" w:sz="4"/>
              <w:left w:val="nil" w:color="FFFFFF" w:sz="0"/>
              <w:bottom w:val="single" w:color="FFFFFF" w:sz="4"/>
              <w:right w:val="nil" w:color="FFFFFF" w:sz="0"/>
            </w:tcBorders>
            <w:shd w:fill="3B3B8C"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06</w:t>
            </w:r>
          </w:p>
        </w:tc>
        <w:tc>
          <w:tcPr>
            <w:tcW w:type="dxa" w:w="9046"/>
            <w:tcBorders>
              <w:top w:val="single" w:color="FFFFFF" w:sz="4"/>
              <w:left w:val="nil" w:color="FFFFFF" w:sz="0"/>
              <w:bottom w:val="single" w:color="FFFFFF" w:sz="4"/>
              <w:right w:val="nil" w:color="FFFFFF" w:sz="0"/>
            </w:tcBorders>
            <w:shd w:fill="EEF0F8" w:val="clear"/>
            <w:tcMar>
              <w:top w:type="dxa" w:w="80"/>
              <w:left w:type="dxa" w:w="140"/>
              <w:bottom w:type="dxa" w:w="80"/>
              <w:right w:type="dxa" w:w="140"/>
            </w:tcMar>
          </w:tcPr>
          <w:p>
            <w:r>
              <w:rPr>
                <w:rFonts w:ascii="Calibri" w:cs="Calibri" w:eastAsia="Calibri" w:hAnsi="Calibri"/>
                <w:color w:val="1C1C2E"/>
                <w:sz w:val="22"/>
                <w:szCs w:val="22"/>
              </w:rPr>
              <w:t xml:space="preserve">Build and deploy a complete sensor → MQTT → InfluxDB → Grafana pipeline with persistent storage and live shared dashboards</w:t>
            </w:r>
          </w:p>
        </w:tc>
      </w:tr>
      <w:tr>
        <w:tc>
          <w:tcPr>
            <w:tcW w:type="dxa" w:w="700"/>
            <w:tcBorders>
              <w:top w:val="single" w:color="FFFFFF" w:sz="4"/>
              <w:left w:val="nil" w:color="FFFFFF" w:sz="0"/>
              <w:bottom w:val="single" w:color="FFFFFF" w:sz="4"/>
              <w:right w:val="nil" w:color="FFFFFF" w:sz="0"/>
            </w:tcBorders>
            <w:shd w:fill="3B3B8C"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07</w:t>
            </w:r>
          </w:p>
        </w:tc>
        <w:tc>
          <w:tcPr>
            <w:tcW w:type="dxa" w:w="9046"/>
            <w:tcBorders>
              <w:top w:val="single" w:color="FFFFFF" w:sz="4"/>
              <w:left w:val="nil" w:color="FFFFFF" w:sz="0"/>
              <w:bottom w:val="single" w:color="FFFFFF" w:sz="4"/>
              <w:right w:val="nil" w:color="FFFFFF" w:sz="0"/>
            </w:tcBorders>
            <w:shd w:fill="EEF0F8" w:val="clear"/>
            <w:tcMar>
              <w:top w:type="dxa" w:w="80"/>
              <w:left w:type="dxa" w:w="140"/>
              <w:bottom w:type="dxa" w:w="80"/>
              <w:right w:type="dxa" w:w="140"/>
            </w:tcMar>
          </w:tcPr>
          <w:p>
            <w:r>
              <w:rPr>
                <w:rFonts w:ascii="Calibri" w:cs="Calibri" w:eastAsia="Calibri" w:hAnsi="Calibri"/>
                <w:color w:val="1C1C2E"/>
                <w:sz w:val="22"/>
                <w:szCs w:val="22"/>
              </w:rPr>
              <w:t xml:space="preserve">Configure threshold-based alert rules with proper state machines (FIRING / PENDING / RESOLVED) and disseminate alerts via Telegram and browser push notifications</w:t>
            </w:r>
          </w:p>
        </w:tc>
      </w:tr>
      <w:tr>
        <w:tc>
          <w:tcPr>
            <w:tcW w:type="dxa" w:w="700"/>
            <w:tcBorders>
              <w:top w:val="single" w:color="FFFFFF" w:sz="4"/>
              <w:left w:val="nil" w:color="FFFFFF" w:sz="0"/>
              <w:bottom w:val="single" w:color="FFFFFF" w:sz="4"/>
              <w:right w:val="nil" w:color="FFFFFF" w:sz="0"/>
            </w:tcBorders>
            <w:shd w:fill="3B3B8C" w:val="clear"/>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08</w:t>
            </w:r>
          </w:p>
        </w:tc>
        <w:tc>
          <w:tcPr>
            <w:tcW w:type="dxa" w:w="9046"/>
            <w:tcBorders>
              <w:top w:val="single" w:color="FFFFFF" w:sz="4"/>
              <w:left w:val="nil" w:color="FFFFFF" w:sz="0"/>
              <w:bottom w:val="single" w:color="FFFFFF" w:sz="4"/>
              <w:right w:val="nil" w:color="FFFFFF" w:sz="0"/>
            </w:tcBorders>
            <w:shd w:fill="EEF0F8" w:val="clear"/>
            <w:tcMar>
              <w:top w:type="dxa" w:w="80"/>
              <w:left w:type="dxa" w:w="140"/>
              <w:bottom w:type="dxa" w:w="80"/>
              <w:right w:type="dxa" w:w="140"/>
            </w:tcMar>
          </w:tcPr>
          <w:p>
            <w:r>
              <w:rPr>
                <w:rFonts w:ascii="Calibri" w:cs="Calibri" w:eastAsia="Calibri" w:hAnsi="Calibri"/>
                <w:color w:val="1C1C2E"/>
                <w:sz w:val="22"/>
                <w:szCs w:val="22"/>
              </w:rPr>
              <w:t xml:space="preserve">Integrate the IoT data stream with the Module 5 Early Warning System pipeline</w:t>
            </w:r>
          </w:p>
        </w:tc>
      </w:tr>
    </w:tbl>
    <w:p>
      <w:pPr>
        <w:spacing w:after="200" w:before="0"/>
      </w:pPr>
    </w:p>
    <w:p>
      <w:pPr>
        <w:pStyle w:val="Heading1"/>
      </w:pPr>
      <w:r>
        <w:t xml:space="preserve">1.  Foundations of IoT for Natural Hazard Monitoring</w:t>
      </w:r>
    </w:p>
    <w:tbl>
      <w:tblPr>
        <w:tblW w:type="dxa" w:w="9746"/>
        <w:tblBorders>
          <w:top w:val="single" w:color="AAAACC" w:sz="4"/>
          <w:left w:val="single" w:color="3B3B8C" w:sz="20"/>
          <w:bottom w:val="single" w:color="AAAACC" w:sz="4"/>
          <w:right w:val="single" w:color="AAAACC"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60"/>
              <w:bottom w:type="dxa" w:w="100"/>
              <w:right w:type="dxa" w:w="140"/>
            </w:tcMar>
          </w:tcPr>
          <w:p>
            <w:pPr>
              <w:spacing w:after="40" w:before="40"/>
            </w:pPr>
            <w:r>
              <w:rPr>
                <w:rFonts w:ascii="Calibri" w:cs="Calibri" w:eastAsia="Calibri" w:hAnsi="Calibri"/>
                <w:color w:val="595959"/>
                <w:sz w:val="22"/>
                <w:szCs w:val="22"/>
              </w:rPr>
              <w:t xml:space="preserve">This section introduces the IoT stack, explains why low-cost sensor networks are transforming hazard monitoring research, and presents the three workshop sensors.</w:t>
            </w:r>
          </w:p>
        </w:tc>
      </w:tr>
    </w:tbl>
    <w:p>
      <w:pPr>
        <w:spacing w:after="100" w:before="0"/>
      </w:pPr>
    </w:p>
    <w:p>
      <w:pPr>
        <w:pStyle w:val="Heading2"/>
      </w:pPr>
      <w:r>
        <w:t xml:space="preserve">1.1  Why IoT for Hazard Monitoring?</w:t>
      </w:r>
    </w:p>
    <w:p>
      <w:pPr>
        <w:spacing w:after="80" w:before="80"/>
      </w:pPr>
      <w:r>
        <w:rPr>
          <w:rFonts w:ascii="Calibri" w:cs="Calibri" w:eastAsia="Calibri" w:hAnsi="Calibri"/>
          <w:b w:val="false"/>
          <w:bCs w:val="false"/>
          <w:color w:val="1C1C2E"/>
          <w:sz w:val="22"/>
          <w:szCs w:val="22"/>
        </w:rPr>
        <w:t xml:space="preserve">Traditional hazard monitoring relies on a sparse network of high-cost, professionally maintained instruments. A research-grade seismometer costs €10,000–€100,000; a meteorological station €5,000–€20,000. Coverage is therefore limited to a few hundred sites worldwide, leaving vast at-risk areas instrumentally invisible.</w:t>
      </w:r>
    </w:p>
    <w:p>
      <w:pPr>
        <w:spacing w:after="80" w:before="80"/>
      </w:pPr>
      <w:r>
        <w:rPr>
          <w:rFonts w:ascii="Calibri" w:cs="Calibri" w:eastAsia="Calibri" w:hAnsi="Calibri"/>
          <w:b w:val="false"/>
          <w:bCs w:val="false"/>
          <w:color w:val="1C1C2E"/>
          <w:sz w:val="22"/>
          <w:szCs w:val="22"/>
        </w:rPr>
        <w:t xml:space="preserve">Internet of Things (IoT) technology turns this economics upside down. A complete monitoring node — microcontroller, three sensors, battery, radio — can be built for €20–€50. The same budget that buys one professional station can deploy hundreds of IoT nodes, producing the dense, distributed data streams that modern Early Warning Systems require.</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Key Point  </w:t>
            </w:r>
            <w:r>
              <w:rPr>
                <w:rFonts w:ascii="Calibri" w:cs="Calibri" w:eastAsia="Calibri" w:hAnsi="Calibri"/>
                <w:color w:val="1C1C2E"/>
                <w:sz w:val="22"/>
                <w:szCs w:val="22"/>
              </w:rPr>
              <w:t xml:space="preserve">IoT does not replace professional monitoring instruments — it complements them. Use IoT for dense coverage, citizen science, and rapid prototyping. Use research-grade instruments for absolute calibration references.</w:t>
            </w:r>
          </w:p>
        </w:tc>
      </w:tr>
    </w:tbl>
    <w:p>
      <w:pPr>
        <w:spacing w:after="100" w:before="0"/>
      </w:pPr>
    </w:p>
    <w:p>
      <w:pPr>
        <w:pStyle w:val="Heading2"/>
      </w:pPr>
      <w:r>
        <w:t xml:space="preserve">1.2  The IoT Stack: Edge → Fog → Cloud → Application</w:t>
      </w:r>
    </w:p>
    <w:p>
      <w:pPr>
        <w:spacing w:after="80" w:before="80"/>
      </w:pPr>
      <w:r>
        <w:rPr>
          <w:rFonts w:ascii="Calibri" w:cs="Calibri" w:eastAsia="Calibri" w:hAnsi="Calibri"/>
          <w:b w:val="false"/>
          <w:bCs w:val="false"/>
          <w:color w:val="1C1C2E"/>
          <w:sz w:val="22"/>
          <w:szCs w:val="22"/>
        </w:rPr>
        <w:t xml:space="preserve">Every IoT system, regardless of application, passes data through four logical layers:</w:t>
      </w:r>
    </w:p>
    <w:p>
      <w:pPr>
        <w:pStyle w:val="ListParagraph"/>
        <w:numPr>
          <w:ilvl w:val="0"/>
          <w:numId w:val="2"/>
        </w:numPr>
        <w:spacing w:after="40" w:before="40"/>
      </w:pPr>
      <w:r>
        <w:rPr>
          <w:rFonts w:ascii="Calibri" w:cs="Calibri" w:eastAsia="Calibri" w:hAnsi="Calibri"/>
          <w:color w:val="1C1C2E"/>
          <w:sz w:val="22"/>
          <w:szCs w:val="22"/>
        </w:rPr>
        <w:t xml:space="preserve">Edge (sensors + microcontroller) — physical sensing and local processing. Examples: MPU6050 connected to ESP32, performing tilt detection and on-device alert checks.</w:t>
      </w:r>
    </w:p>
    <w:p>
      <w:pPr>
        <w:pStyle w:val="ListParagraph"/>
        <w:numPr>
          <w:ilvl w:val="0"/>
          <w:numId w:val="2"/>
        </w:numPr>
        <w:spacing w:after="40" w:before="40"/>
      </w:pPr>
      <w:r>
        <w:rPr>
          <w:rFonts w:ascii="Calibri" w:cs="Calibri" w:eastAsia="Calibri" w:hAnsi="Calibri"/>
          <w:color w:val="1C1C2E"/>
          <w:sz w:val="22"/>
          <w:szCs w:val="22"/>
        </w:rPr>
        <w:t xml:space="preserve">Fog (network gateway) — protocol bridging and aggregation. Examples: MQTT broker on Raspberry Pi, LoRaWAN gateway, cellular backhaul.</w:t>
      </w:r>
    </w:p>
    <w:p>
      <w:pPr>
        <w:pStyle w:val="ListParagraph"/>
        <w:numPr>
          <w:ilvl w:val="0"/>
          <w:numId w:val="2"/>
        </w:numPr>
        <w:spacing w:after="40" w:before="40"/>
      </w:pPr>
      <w:r>
        <w:rPr>
          <w:rFonts w:ascii="Calibri" w:cs="Calibri" w:eastAsia="Calibri" w:hAnsi="Calibri"/>
          <w:color w:val="1C1C2E"/>
          <w:sz w:val="22"/>
          <w:szCs w:val="22"/>
        </w:rPr>
        <w:t xml:space="preserve">Cloud (backend services) — time-series storage, dashboards, machine-learning inference. Examples: InfluxDB + Grafana, ThingsBoard, AWS IoT Core.</w:t>
      </w:r>
    </w:p>
    <w:p>
      <w:pPr>
        <w:pStyle w:val="ListParagraph"/>
        <w:numPr>
          <w:ilvl w:val="0"/>
          <w:numId w:val="2"/>
        </w:numPr>
        <w:spacing w:after="40" w:before="40"/>
      </w:pPr>
      <w:r>
        <w:rPr>
          <w:rFonts w:ascii="Calibri" w:cs="Calibri" w:eastAsia="Calibri" w:hAnsi="Calibri"/>
          <w:color w:val="1C1C2E"/>
          <w:sz w:val="22"/>
          <w:szCs w:val="22"/>
        </w:rPr>
        <w:t xml:space="preserve">Application (user interface) — what the human sees and acts upon. Examples: EWS alerts to mobile phones, research dashboards, emergency response tools.</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FFF8E6"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Important  </w:t>
            </w:r>
            <w:r>
              <w:rPr>
                <w:rFonts w:ascii="Calibri" w:cs="Calibri" w:eastAsia="Calibri" w:hAnsi="Calibri"/>
                <w:color w:val="1C1C2E"/>
                <w:sz w:val="22"/>
                <w:szCs w:val="22"/>
              </w:rPr>
              <w:t xml:space="preserve">Code that runs at the edge has very different constraints from code that runs in the cloud — limited memory, no operating system, intermittent power. AI-generated code rarely respects these constraints unless the prompt explicitly states them.</w:t>
            </w:r>
          </w:p>
        </w:tc>
      </w:tr>
    </w:tbl>
    <w:p>
      <w:pPr>
        <w:spacing w:after="100" w:before="0"/>
      </w:pPr>
    </w:p>
    <w:p>
      <w:pPr>
        <w:pStyle w:val="Heading3"/>
      </w:pPr>
      <w:r>
        <w:t xml:space="preserve">1.3  The Three Workshop Sensors</w:t>
      </w:r>
    </w:p>
    <w:p>
      <w:pPr>
        <w:spacing w:after="80" w:before="80"/>
      </w:pPr>
      <w:r>
        <w:rPr>
          <w:rFonts w:ascii="Calibri" w:cs="Calibri" w:eastAsia="Calibri" w:hAnsi="Calibri"/>
          <w:b w:val="false"/>
          <w:bCs w:val="false"/>
          <w:color w:val="1C1C2E"/>
          <w:sz w:val="22"/>
          <w:szCs w:val="22"/>
        </w:rPr>
        <w:t xml:space="preserve">The workshop centres on three inexpensive, well-documented sensors chosen for their direct relevance to natural hazard monitoring:</w:t>
      </w:r>
    </w:p>
    <w:p>
      <w:pPr>
        <w:pStyle w:val="ListParagraph"/>
        <w:numPr>
          <w:ilvl w:val="0"/>
          <w:numId w:val="2"/>
        </w:numPr>
        <w:spacing w:after="40" w:before="40"/>
      </w:pPr>
      <w:r>
        <w:rPr>
          <w:rFonts w:ascii="Calibri" w:cs="Calibri" w:eastAsia="Calibri" w:hAnsi="Calibri"/>
          <w:color w:val="1C1C2E"/>
          <w:sz w:val="22"/>
          <w:szCs w:val="22"/>
        </w:rPr>
        <w:t xml:space="preserve">MPU6050 (6-axis inertial measurement unit): combines a 3-axis accelerometer with a 3-axis gyroscope. Detects tilt, vibration, and motion. Hazard application: landslide pre-failure detection (slow tilt drift), building damage assessment, ground motion logging. Interface: I²C at address 0x68. Cost: ~€2.</w:t>
      </w:r>
    </w:p>
    <w:p>
      <w:pPr>
        <w:pStyle w:val="ListParagraph"/>
        <w:numPr>
          <w:ilvl w:val="0"/>
          <w:numId w:val="2"/>
        </w:numPr>
        <w:spacing w:after="40" w:before="40"/>
      </w:pPr>
      <w:r>
        <w:rPr>
          <w:rFonts w:ascii="Calibri" w:cs="Calibri" w:eastAsia="Calibri" w:hAnsi="Calibri"/>
          <w:color w:val="1C1C2E"/>
          <w:sz w:val="22"/>
          <w:szCs w:val="22"/>
        </w:rPr>
        <w:t xml:space="preserve">BMP280 (barometric pressure + temperature sensor): measures atmospheric pressure with 0.12 hPa resolution and temperature with 0.5°C accuracy. Hazard application: storm tracking (rapid pressure drop precedes severe weather), altitude estimation, microclimate monitoring. Interface: I²C at address 0x76 or 0x77. Cost: ~€2.</w:t>
      </w:r>
    </w:p>
    <w:p>
      <w:pPr>
        <w:pStyle w:val="ListParagraph"/>
        <w:numPr>
          <w:ilvl w:val="0"/>
          <w:numId w:val="2"/>
        </w:numPr>
        <w:spacing w:after="40" w:before="40"/>
      </w:pPr>
      <w:r>
        <w:rPr>
          <w:rFonts w:ascii="Calibri" w:cs="Calibri" w:eastAsia="Calibri" w:hAnsi="Calibri"/>
          <w:color w:val="1C1C2E"/>
          <w:sz w:val="22"/>
          <w:szCs w:val="22"/>
        </w:rPr>
        <w:t xml:space="preserve">Capacitive soil moisture sensor: measures volumetric water content by detecting capacitance changes in the soil dielectric. Corrosion-resistant (unlike older resistive sensors). Hazard application: landslide trigger conditions (saturated soil), drought monitoring, irrigation. Interface: analogue voltage to ADC. Cost: ~€3.</w:t>
      </w:r>
    </w:p>
    <w:p>
      <w:pPr>
        <w:spacing w:after="100" w:before="0"/>
      </w:pPr>
    </w:p>
    <w:p>
      <w:pPr>
        <w:pStyle w:val="Heading1"/>
      </w:pPr>
      <w:r>
        <w:t xml:space="preserve">2.  AI-Assisted Coding for IoT</w:t>
      </w:r>
    </w:p>
    <w:tbl>
      <w:tblPr>
        <w:tblW w:type="dxa" w:w="9746"/>
        <w:tblBorders>
          <w:top w:val="single" w:color="AAAACC" w:sz="4"/>
          <w:left w:val="single" w:color="3B3B8C" w:sz="20"/>
          <w:bottom w:val="single" w:color="AAAACC" w:sz="4"/>
          <w:right w:val="single" w:color="AAAACC"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60"/>
              <w:bottom w:type="dxa" w:w="100"/>
              <w:right w:type="dxa" w:w="140"/>
            </w:tcMar>
          </w:tcPr>
          <w:p>
            <w:pPr>
              <w:spacing w:after="40" w:before="40"/>
            </w:pPr>
            <w:r>
              <w:rPr>
                <w:rFonts w:ascii="Calibri" w:cs="Calibri" w:eastAsia="Calibri" w:hAnsi="Calibri"/>
                <w:color w:val="595959"/>
                <w:sz w:val="22"/>
                <w:szCs w:val="22"/>
              </w:rPr>
              <w:t xml:space="preserve">This section defines AI-assisted coding (also known informally as "vibe coding"), presents the five-step workflow, and establishes when to trust AI-generated code and when to verify it.</w:t>
            </w:r>
          </w:p>
        </w:tc>
      </w:tr>
    </w:tbl>
    <w:p>
      <w:pPr>
        <w:spacing w:after="100" w:before="0"/>
      </w:pPr>
    </w:p>
    <w:p>
      <w:pPr>
        <w:pStyle w:val="Heading2"/>
      </w:pPr>
      <w:r>
        <w:t xml:space="preserve">2.1  What is AI-Assisted IoT Development?</w:t>
      </w:r>
    </w:p>
    <w:p>
      <w:pPr>
        <w:spacing w:after="80" w:before="80"/>
      </w:pPr>
      <w:r>
        <w:rPr>
          <w:rFonts w:ascii="Calibri" w:cs="Calibri" w:eastAsia="Calibri" w:hAnsi="Calibri"/>
          <w:b w:val="false"/>
          <w:bCs w:val="false"/>
          <w:color w:val="1C1C2E"/>
          <w:sz w:val="22"/>
          <w:szCs w:val="22"/>
        </w:rPr>
        <w:t xml:space="preserve">AI-assisted coding is the practice of using a large language model (LLM) — such as Claude, ChatGPT, GitHub Copilot, or Gemini — to generate code by describing the desired behaviour in natural language. The developer iterates with the model when the generated code is incorrect, gradually refining the output until it works.</w:t>
      </w:r>
    </w:p>
    <w:p>
      <w:pPr>
        <w:spacing w:after="80" w:before="80"/>
      </w:pPr>
      <w:r>
        <w:rPr>
          <w:rFonts w:ascii="Calibri" w:cs="Calibri" w:eastAsia="Calibri" w:hAnsi="Calibri"/>
          <w:b w:val="false"/>
          <w:bCs w:val="false"/>
          <w:color w:val="1C1C2E"/>
          <w:sz w:val="22"/>
          <w:szCs w:val="22"/>
        </w:rPr>
        <w:t xml:space="preserve">For IoT development specifically, AI-assisted coding offers several advantages: it lowers the barrier to embedded programming for researchers without formal computer science training; it accelerates prototyping by instantly producing boilerplate (WiFi connection, MQTT publish, JSON serialisation); it provides immediate help with unfamiliar sensor libraries and APIs; and it can suggest debug strategies for hardware-specific errors.</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8F5E9"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Tip  </w:t>
            </w:r>
            <w:r>
              <w:rPr>
                <w:rFonts w:ascii="Calibri" w:cs="Calibri" w:eastAsia="Calibri" w:hAnsi="Calibri"/>
                <w:color w:val="1C1C2E"/>
                <w:sz w:val="22"/>
                <w:szCs w:val="22"/>
              </w:rPr>
              <w:t xml:space="preserve">The workshop uses the term "AI-assisted IoT development" in formal documentation but "vibe coding" remains acceptable informally. Both refer to the same practice. Stay vendor-neutral when teaching — students should know that the workflow is independent of which specific LLM they use.</w:t>
            </w:r>
          </w:p>
        </w:tc>
      </w:tr>
    </w:tbl>
    <w:p>
      <w:pPr>
        <w:spacing w:after="100" w:before="0"/>
      </w:pPr>
    </w:p>
    <w:p>
      <w:pPr>
        <w:pStyle w:val="Heading2"/>
      </w:pPr>
      <w:r>
        <w:t xml:space="preserve">2.2  The Five-Step Workflow</w:t>
      </w:r>
    </w:p>
    <w:p>
      <w:pPr>
        <w:spacing w:after="80" w:before="80"/>
      </w:pPr>
      <w:r>
        <w:rPr>
          <w:rFonts w:ascii="Calibri" w:cs="Calibri" w:eastAsia="Calibri" w:hAnsi="Calibri"/>
          <w:b w:val="false"/>
          <w:bCs w:val="false"/>
          <w:color w:val="1C1C2E"/>
          <w:sz w:val="22"/>
          <w:szCs w:val="22"/>
        </w:rPr>
        <w:t xml:space="preserve">Productive AI-assisted IoT development follows a five-step loop:</w:t>
      </w:r>
    </w:p>
    <w:p>
      <w:pPr>
        <w:pStyle w:val="ListParagraph"/>
        <w:numPr>
          <w:ilvl w:val="0"/>
          <w:numId w:val="3"/>
        </w:numPr>
        <w:spacing w:after="40" w:before="40"/>
      </w:pPr>
      <w:r>
        <w:rPr>
          <w:rFonts w:ascii="Calibri" w:cs="Calibri" w:eastAsia="Calibri" w:hAnsi="Calibri"/>
          <w:color w:val="1C1C2E"/>
          <w:sz w:val="22"/>
          <w:szCs w:val="22"/>
        </w:rPr>
        <w:t xml:space="preserve">PROMPT — Describe in plain English what you want the code to do, including all relevant constraints.</w:t>
      </w:r>
    </w:p>
    <w:p>
      <w:pPr>
        <w:pStyle w:val="ListParagraph"/>
        <w:numPr>
          <w:ilvl w:val="0"/>
          <w:numId w:val="3"/>
        </w:numPr>
        <w:spacing w:after="40" w:before="40"/>
      </w:pPr>
      <w:r>
        <w:rPr>
          <w:rFonts w:ascii="Calibri" w:cs="Calibri" w:eastAsia="Calibri" w:hAnsi="Calibri"/>
          <w:color w:val="1C1C2E"/>
          <w:sz w:val="22"/>
          <w:szCs w:val="22"/>
        </w:rPr>
        <w:t xml:space="preserve">GENERATE — The LLM produces code, usually with brief explanatory comments.</w:t>
      </w:r>
    </w:p>
    <w:p>
      <w:pPr>
        <w:pStyle w:val="ListParagraph"/>
        <w:numPr>
          <w:ilvl w:val="0"/>
          <w:numId w:val="3"/>
        </w:numPr>
        <w:spacing w:after="40" w:before="40"/>
      </w:pPr>
      <w:r>
        <w:rPr>
          <w:rFonts w:ascii="Calibri" w:cs="Calibri" w:eastAsia="Calibri" w:hAnsi="Calibri"/>
          <w:color w:val="1C1C2E"/>
          <w:sz w:val="22"/>
          <w:szCs w:val="22"/>
        </w:rPr>
        <w:t xml:space="preserve">TEST — Run the generated code on real hardware or in a simulator (Wokwi for ESP32 is browser-based and free).</w:t>
      </w:r>
    </w:p>
    <w:p>
      <w:pPr>
        <w:pStyle w:val="ListParagraph"/>
        <w:numPr>
          <w:ilvl w:val="0"/>
          <w:numId w:val="3"/>
        </w:numPr>
        <w:spacing w:after="40" w:before="40"/>
      </w:pPr>
      <w:r>
        <w:rPr>
          <w:rFonts w:ascii="Calibri" w:cs="Calibri" w:eastAsia="Calibri" w:hAnsi="Calibri"/>
          <w:color w:val="1C1C2E"/>
          <w:sz w:val="22"/>
          <w:szCs w:val="22"/>
        </w:rPr>
        <w:t xml:space="preserve">DEBUG — Read the error or unexpected behaviour, paste it back to the LLM along with relevant context.</w:t>
      </w:r>
    </w:p>
    <w:p>
      <w:pPr>
        <w:pStyle w:val="ListParagraph"/>
        <w:numPr>
          <w:ilvl w:val="0"/>
          <w:numId w:val="3"/>
        </w:numPr>
        <w:spacing w:after="40" w:before="40"/>
      </w:pPr>
      <w:r>
        <w:rPr>
          <w:rFonts w:ascii="Calibri" w:cs="Calibri" w:eastAsia="Calibri" w:hAnsi="Calibri"/>
          <w:color w:val="1C1C2E"/>
          <w:sz w:val="22"/>
          <w:szCs w:val="22"/>
        </w:rPr>
        <w:t xml:space="preserve">ITERATE — Refine the prompt with what you have learned, then return to step 1 until the code works correctly.</w:t>
      </w:r>
    </w:p>
    <w:p>
      <w:pPr>
        <w:spacing w:after="100" w:before="0"/>
      </w:pPr>
    </w:p>
    <w:p>
      <w:pPr>
        <w:spacing w:after="80" w:before="80"/>
      </w:pPr>
      <w:r>
        <w:rPr>
          <w:rFonts w:ascii="Calibri" w:cs="Calibri" w:eastAsia="Calibri" w:hAnsi="Calibri"/>
          <w:b w:val="false"/>
          <w:bCs w:val="false"/>
          <w:color w:val="1C1C2E"/>
          <w:sz w:val="22"/>
          <w:szCs w:val="22"/>
        </w:rPr>
        <w:t xml:space="preserve">The loop converges when the code produces the expected output reliably under realistic test conditions. Most non-trivial sensor code requires 3–8 iterations of this loop, especially when calibration is involved.</w:t>
      </w:r>
    </w:p>
    <w:p>
      <w:pPr>
        <w:spacing w:after="100" w:before="0"/>
      </w:pPr>
    </w:p>
    <w:p>
      <w:pPr>
        <w:pStyle w:val="Heading2"/>
      </w:pPr>
      <w:r>
        <w:t xml:space="preserve">2.3  Prompt Engineering for IoT Code</w:t>
      </w:r>
    </w:p>
    <w:p>
      <w:pPr>
        <w:spacing w:after="80" w:before="80"/>
      </w:pPr>
      <w:r>
        <w:rPr>
          <w:rFonts w:ascii="Calibri" w:cs="Calibri" w:eastAsia="Calibri" w:hAnsi="Calibri"/>
          <w:b w:val="false"/>
          <w:bCs w:val="false"/>
          <w:color w:val="1C1C2E"/>
          <w:sz w:val="22"/>
          <w:szCs w:val="22"/>
        </w:rPr>
        <w:t xml:space="preserve">The quality of generated code depends overwhelmingly on the quality of the prompt. A weak prompt produces ambiguous or incorrect code; a strong prompt usually produces working code on the first attempt.</w:t>
      </w:r>
    </w:p>
    <w:p>
      <w:pPr>
        <w:spacing w:after="100" w:before="0"/>
      </w:pPr>
    </w:p>
    <w:p>
      <w:pPr>
        <w:pStyle w:val="Heading3"/>
      </w:pPr>
      <w:r>
        <w:t xml:space="preserve">2.3.1  Weak Prompt Example</w:t>
      </w:r>
    </w:p>
    <w:p>
      <w:pPr>
        <w:spacing w:after="80" w:before="80"/>
      </w:pPr>
      <w:r>
        <w:rPr>
          <w:rFonts w:ascii="Calibri" w:cs="Calibri" w:eastAsia="Calibri" w:hAnsi="Calibri"/>
          <w:b w:val="false"/>
          <w:bCs w:val="false"/>
          <w:color w:val="1C1C2E"/>
          <w:sz w:val="22"/>
          <w:szCs w:val="22"/>
        </w:rPr>
        <w:t xml:space="preserve">"Write code to read a soil moisture sensor."</w:t>
      </w:r>
    </w:p>
    <w:p>
      <w:pPr>
        <w:spacing w:after="80" w:before="80"/>
      </w:pPr>
      <w:r>
        <w:rPr>
          <w:rFonts w:ascii="Calibri" w:cs="Calibri" w:eastAsia="Calibri" w:hAnsi="Calibri"/>
          <w:b w:val="false"/>
          <w:bCs w:val="false"/>
          <w:color w:val="1C1C2E"/>
          <w:sz w:val="22"/>
          <w:szCs w:val="22"/>
        </w:rPr>
        <w:t xml:space="preserve">This prompt is missing every piece of information needed: which board, which sensor model, analogue or digital interface, output format, reading frequency, downstream destination of the data. The LLM will guess at all of these, and its guesses will frequently be wrong for your specific setup.</w:t>
      </w:r>
    </w:p>
    <w:p>
      <w:pPr>
        <w:spacing w:after="100" w:before="0"/>
      </w:pPr>
    </w:p>
    <w:p>
      <w:pPr>
        <w:pStyle w:val="Heading3"/>
      </w:pPr>
      <w:r>
        <w:t xml:space="preserve">2.3.2  Strong Prompt Example</w:t>
      </w:r>
    </w:p>
    <w:p>
      <w:pPr>
        <w:spacing w:after="80" w:before="80"/>
      </w:pPr>
      <w:r>
        <w:rPr>
          <w:rFonts w:ascii="Calibri" w:cs="Calibri" w:eastAsia="Calibri" w:hAnsi="Calibri"/>
          <w:b w:val="false"/>
          <w:bCs w:val="false"/>
          <w:color w:val="1C1C2E"/>
          <w:sz w:val="22"/>
          <w:szCs w:val="22"/>
        </w:rPr>
        <w:t xml:space="preserve">"Using MicroPython on an ESP32, read a capacitive soil moisture sensor connected to GPIO34 (ADC1_CH6). Read every 60 seconds, map the raw ADC value to a percentage in the range 0–100% using the calibration values dry=3300 and wet=1200, publish the result as a JSON message to MQTT topic landslide/site_a/soil_pct, and enter deep sleep between readings to conserve battery power."</w:t>
      </w:r>
    </w:p>
    <w:p>
      <w:pPr>
        <w:spacing w:after="80" w:before="80"/>
      </w:pPr>
      <w:r>
        <w:rPr>
          <w:rFonts w:ascii="Calibri" w:cs="Calibri" w:eastAsia="Calibri" w:hAnsi="Calibri"/>
          <w:b w:val="false"/>
          <w:bCs w:val="false"/>
          <w:color w:val="1C1C2E"/>
          <w:sz w:val="22"/>
          <w:szCs w:val="22"/>
        </w:rPr>
        <w:t xml:space="preserve">This prompt specifies: the target board (ESP32), the language (MicroPython), the exact sensor type (capacitive, not resistive), the pin assignment (GPIO34 / ADC1_CH6), the timing (60 s interval), the calibration values, the data format (JSON), the destination (named MQTT topic), and the power constraint (deep sleep). The LLM has enough context to produce working code on the first attempt.</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Key Point  </w:t>
            </w:r>
            <w:r>
              <w:rPr>
                <w:rFonts w:ascii="Calibri" w:cs="Calibri" w:eastAsia="Calibri" w:hAnsi="Calibri"/>
                <w:color w:val="1C1C2E"/>
                <w:sz w:val="22"/>
                <w:szCs w:val="22"/>
              </w:rPr>
              <w:t xml:space="preserve">A good IoT prompt names six things: (1) the board, (2) the sensor model, (3) the interface and pin, (4) the timing, (5) the calibration or units, and (6) the output destination.</w:t>
            </w:r>
          </w:p>
        </w:tc>
      </w:tr>
    </w:tbl>
    <w:p>
      <w:pPr>
        <w:spacing w:after="100" w:before="0"/>
      </w:pPr>
    </w:p>
    <w:p>
      <w:pPr>
        <w:pStyle w:val="Heading2"/>
      </w:pPr>
      <w:r>
        <w:t xml:space="preserve">2.4  Five Common Failure Modes</w:t>
      </w:r>
    </w:p>
    <w:p>
      <w:pPr>
        <w:spacing w:after="80" w:before="80"/>
      </w:pPr>
      <w:r>
        <w:rPr>
          <w:rFonts w:ascii="Calibri" w:cs="Calibri" w:eastAsia="Calibri" w:hAnsi="Calibri"/>
          <w:b w:val="false"/>
          <w:bCs w:val="false"/>
          <w:color w:val="1C1C2E"/>
          <w:sz w:val="22"/>
          <w:szCs w:val="22"/>
        </w:rPr>
        <w:t xml:space="preserve">Even well-prompted LLMs produce wrong code regularly. Five failure modes account for most issues:</w:t>
      </w:r>
    </w:p>
    <w:p>
      <w:pPr>
        <w:pStyle w:val="ListParagraph"/>
        <w:numPr>
          <w:ilvl w:val="0"/>
          <w:numId w:val="2"/>
        </w:numPr>
        <w:spacing w:after="40" w:before="40"/>
      </w:pPr>
      <w:r>
        <w:rPr>
          <w:rFonts w:ascii="Calibri" w:cs="Calibri" w:eastAsia="Calibri" w:hAnsi="Calibri"/>
          <w:color w:val="1C1C2E"/>
          <w:sz w:val="22"/>
          <w:szCs w:val="22"/>
        </w:rPr>
        <w:t xml:space="preserve">Hallucinated pins — the AI invents pin numbers that do not exist on the board, or assigns the same pin to two devices. Always cross-check pin assignments against the official board pinout.</w:t>
      </w:r>
    </w:p>
    <w:p>
      <w:pPr>
        <w:pStyle w:val="ListParagraph"/>
        <w:numPr>
          <w:ilvl w:val="0"/>
          <w:numId w:val="2"/>
        </w:numPr>
        <w:spacing w:after="40" w:before="40"/>
      </w:pPr>
      <w:r>
        <w:rPr>
          <w:rFonts w:ascii="Calibri" w:cs="Calibri" w:eastAsia="Calibri" w:hAnsi="Calibri"/>
          <w:color w:val="1C1C2E"/>
          <w:sz w:val="22"/>
          <w:szCs w:val="22"/>
        </w:rPr>
        <w:t xml:space="preserve">Wrong library — the AI imports outdated, deprecated, or non-existent libraries. Verify imports against the current MicroPython documentation or PyPI.</w:t>
      </w:r>
    </w:p>
    <w:p>
      <w:pPr>
        <w:pStyle w:val="ListParagraph"/>
        <w:numPr>
          <w:ilvl w:val="0"/>
          <w:numId w:val="2"/>
        </w:numPr>
        <w:spacing w:after="40" w:before="40"/>
      </w:pPr>
      <w:r>
        <w:rPr>
          <w:rFonts w:ascii="Calibri" w:cs="Calibri" w:eastAsia="Calibri" w:hAnsi="Calibri"/>
          <w:color w:val="1C1C2E"/>
          <w:sz w:val="22"/>
          <w:szCs w:val="22"/>
        </w:rPr>
        <w:t xml:space="preserve">Off-by-one bugs — loop counts wrong by one, buffer overflows, array indexing errors. Particularly common in code that processes sensor sample buffers.</w:t>
      </w:r>
    </w:p>
    <w:p>
      <w:pPr>
        <w:pStyle w:val="ListParagraph"/>
        <w:numPr>
          <w:ilvl w:val="0"/>
          <w:numId w:val="2"/>
        </w:numPr>
        <w:spacing w:after="40" w:before="40"/>
      </w:pPr>
      <w:r>
        <w:rPr>
          <w:rFonts w:ascii="Calibri" w:cs="Calibri" w:eastAsia="Calibri" w:hAnsi="Calibri"/>
          <w:color w:val="1C1C2E"/>
          <w:sz w:val="22"/>
          <w:szCs w:val="22"/>
        </w:rPr>
        <w:t xml:space="preserve">Plausible nonsense — code runs without errors but produces physically impossible output (e.g., negative atmospheric pressure, soil moisture above 100%). Sanity-check sensor readings against the physical range.</w:t>
      </w:r>
    </w:p>
    <w:p>
      <w:pPr>
        <w:pStyle w:val="ListParagraph"/>
        <w:numPr>
          <w:ilvl w:val="0"/>
          <w:numId w:val="2"/>
        </w:numPr>
        <w:spacing w:after="40" w:before="40"/>
      </w:pPr>
      <w:r>
        <w:rPr>
          <w:rFonts w:ascii="Calibri" w:cs="Calibri" w:eastAsia="Calibri" w:hAnsi="Calibri"/>
          <w:color w:val="1C1C2E"/>
          <w:sz w:val="22"/>
          <w:szCs w:val="22"/>
        </w:rPr>
        <w:t xml:space="preserve">Security gaps — hard-coded passwords, MQTT without TLS, default credentials, debug interfaces left enabled. Critical for any deployment beyond a closed lab network.</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FFF8E6"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Important  </w:t>
            </w:r>
            <w:r>
              <w:rPr>
                <w:rFonts w:ascii="Calibri" w:cs="Calibri" w:eastAsia="Calibri" w:hAnsi="Calibri"/>
                <w:color w:val="1C1C2E"/>
                <w:sz w:val="22"/>
                <w:szCs w:val="22"/>
              </w:rPr>
              <w:t xml:space="preserve">Plausible nonsense is the most dangerous failure mode because the code looks correct. Always validate sensor output against expected physical ranges before trusting it in a downstream alert decision.</w:t>
            </w:r>
          </w:p>
        </w:tc>
      </w:tr>
    </w:tbl>
    <w:p>
      <w:pPr>
        <w:spacing w:after="100" w:before="0"/>
      </w:pPr>
    </w:p>
    <w:p>
      <w:pPr>
        <w:pStyle w:val="Heading2"/>
      </w:pPr>
      <w:r>
        <w:t xml:space="preserve">2.5  The Trust-or-Verify Boundary</w:t>
      </w:r>
    </w:p>
    <w:p>
      <w:pPr>
        <w:spacing w:after="80" w:before="80"/>
      </w:pPr>
      <w:r>
        <w:rPr>
          <w:rFonts w:ascii="Calibri" w:cs="Calibri" w:eastAsia="Calibri" w:hAnsi="Calibri"/>
          <w:b w:val="false"/>
          <w:bCs w:val="false"/>
          <w:color w:val="1C1C2E"/>
          <w:sz w:val="22"/>
          <w:szCs w:val="22"/>
        </w:rPr>
        <w:t xml:space="preserve">Not all IoT code is equally consequential. Some code is safe to vibe-code freely; some code must be carefully reviewed regardless of how confident the LLM sounds.</w:t>
      </w:r>
    </w:p>
    <w:p>
      <w:pPr>
        <w:spacing w:after="100" w:before="0"/>
      </w:pPr>
    </w:p>
    <w:p>
      <w:pPr>
        <w:pStyle w:val="Heading3"/>
      </w:pPr>
      <w:r>
        <w:t xml:space="preserve">2.5.1  Safe to Vibe Code</w:t>
      </w:r>
    </w:p>
    <w:p>
      <w:pPr>
        <w:pStyle w:val="ListParagraph"/>
        <w:numPr>
          <w:ilvl w:val="0"/>
          <w:numId w:val="2"/>
        </w:numPr>
        <w:spacing w:after="40" w:before="40"/>
      </w:pPr>
      <w:r>
        <w:rPr>
          <w:rFonts w:ascii="Calibri" w:cs="Calibri" w:eastAsia="Calibri" w:hAnsi="Calibri"/>
          <w:color w:val="1C1C2E"/>
          <w:sz w:val="22"/>
          <w:szCs w:val="22"/>
        </w:rPr>
        <w:t xml:space="preserve">Data parsing and formatting (CSV, JSON, log file readers)</w:t>
      </w:r>
    </w:p>
    <w:p>
      <w:pPr>
        <w:pStyle w:val="ListParagraph"/>
        <w:numPr>
          <w:ilvl w:val="0"/>
          <w:numId w:val="2"/>
        </w:numPr>
        <w:spacing w:after="40" w:before="40"/>
      </w:pPr>
      <w:r>
        <w:rPr>
          <w:rFonts w:ascii="Calibri" w:cs="Calibri" w:eastAsia="Calibri" w:hAnsi="Calibri"/>
          <w:color w:val="1C1C2E"/>
          <w:sz w:val="22"/>
          <w:szCs w:val="22"/>
        </w:rPr>
        <w:t xml:space="preserve">Plotting and visualisation code</w:t>
      </w:r>
    </w:p>
    <w:p>
      <w:pPr>
        <w:pStyle w:val="ListParagraph"/>
        <w:numPr>
          <w:ilvl w:val="0"/>
          <w:numId w:val="2"/>
        </w:numPr>
        <w:spacing w:after="40" w:before="40"/>
      </w:pPr>
      <w:r>
        <w:rPr>
          <w:rFonts w:ascii="Calibri" w:cs="Calibri" w:eastAsia="Calibri" w:hAnsi="Calibri"/>
          <w:color w:val="1C1C2E"/>
          <w:sz w:val="22"/>
          <w:szCs w:val="22"/>
        </w:rPr>
        <w:t xml:space="preserve">MQTT publish/subscribe boilerplate</w:t>
      </w:r>
    </w:p>
    <w:p>
      <w:pPr>
        <w:pStyle w:val="ListParagraph"/>
        <w:numPr>
          <w:ilvl w:val="0"/>
          <w:numId w:val="2"/>
        </w:numPr>
        <w:spacing w:after="40" w:before="40"/>
      </w:pPr>
      <w:r>
        <w:rPr>
          <w:rFonts w:ascii="Calibri" w:cs="Calibri" w:eastAsia="Calibri" w:hAnsi="Calibri"/>
          <w:color w:val="1C1C2E"/>
          <w:sz w:val="22"/>
          <w:szCs w:val="22"/>
        </w:rPr>
        <w:t xml:space="preserve">Unit conversion functions</w:t>
      </w:r>
    </w:p>
    <w:p>
      <w:pPr>
        <w:pStyle w:val="ListParagraph"/>
        <w:numPr>
          <w:ilvl w:val="0"/>
          <w:numId w:val="2"/>
        </w:numPr>
        <w:spacing w:after="40" w:before="40"/>
      </w:pPr>
      <w:r>
        <w:rPr>
          <w:rFonts w:ascii="Calibri" w:cs="Calibri" w:eastAsia="Calibri" w:hAnsi="Calibri"/>
          <w:color w:val="1C1C2E"/>
          <w:sz w:val="22"/>
          <w:szCs w:val="22"/>
        </w:rPr>
        <w:t xml:space="preserve">Dashboard layout code (Grafana, ThingsBoard)</w:t>
      </w:r>
    </w:p>
    <w:p>
      <w:pPr>
        <w:pStyle w:val="ListParagraph"/>
        <w:numPr>
          <w:ilvl w:val="0"/>
          <w:numId w:val="2"/>
        </w:numPr>
        <w:spacing w:after="40" w:before="40"/>
      </w:pPr>
      <w:r>
        <w:rPr>
          <w:rFonts w:ascii="Calibri" w:cs="Calibri" w:eastAsia="Calibri" w:hAnsi="Calibri"/>
          <w:color w:val="1C1C2E"/>
          <w:sz w:val="22"/>
          <w:szCs w:val="22"/>
        </w:rPr>
        <w:t xml:space="preserve">Documentation strings, comments, README sections</w:t>
      </w:r>
    </w:p>
    <w:p>
      <w:pPr>
        <w:spacing w:after="100" w:before="0"/>
      </w:pPr>
    </w:p>
    <w:p>
      <w:pPr>
        <w:pStyle w:val="Heading3"/>
      </w:pPr>
      <w:r>
        <w:t xml:space="preserve">2.5.2  Always Verify</w:t>
      </w:r>
    </w:p>
    <w:p>
      <w:pPr>
        <w:pStyle w:val="ListParagraph"/>
        <w:numPr>
          <w:ilvl w:val="0"/>
          <w:numId w:val="2"/>
        </w:numPr>
        <w:spacing w:after="40" w:before="40"/>
      </w:pPr>
      <w:r>
        <w:rPr>
          <w:rFonts w:ascii="Calibri" w:cs="Calibri" w:eastAsia="Calibri" w:hAnsi="Calibri"/>
          <w:color w:val="1C1C2E"/>
          <w:sz w:val="22"/>
          <w:szCs w:val="22"/>
        </w:rPr>
        <w:t xml:space="preserve">Alert threshold logic — wrong thresholds cause missed warnings or false alarms</w:t>
      </w:r>
    </w:p>
    <w:p>
      <w:pPr>
        <w:pStyle w:val="ListParagraph"/>
        <w:numPr>
          <w:ilvl w:val="0"/>
          <w:numId w:val="2"/>
        </w:numPr>
        <w:spacing w:after="40" w:before="40"/>
      </w:pPr>
      <w:r>
        <w:rPr>
          <w:rFonts w:ascii="Calibri" w:cs="Calibri" w:eastAsia="Calibri" w:hAnsi="Calibri"/>
          <w:color w:val="1C1C2E"/>
          <w:sz w:val="22"/>
          <w:szCs w:val="22"/>
        </w:rPr>
        <w:t xml:space="preserve">Pin assignments and wiring — wrong pins can short-circuit and destroy hardware</w:t>
      </w:r>
    </w:p>
    <w:p>
      <w:pPr>
        <w:pStyle w:val="ListParagraph"/>
        <w:numPr>
          <w:ilvl w:val="0"/>
          <w:numId w:val="2"/>
        </w:numPr>
        <w:spacing w:after="40" w:before="40"/>
      </w:pPr>
      <w:r>
        <w:rPr>
          <w:rFonts w:ascii="Calibri" w:cs="Calibri" w:eastAsia="Calibri" w:hAnsi="Calibri"/>
          <w:color w:val="1C1C2E"/>
          <w:sz w:val="22"/>
          <w:szCs w:val="22"/>
        </w:rPr>
        <w:t xml:space="preserve">Sensor calibration formulas — verify against the manufacturer datasheet</w:t>
      </w:r>
    </w:p>
    <w:p>
      <w:pPr>
        <w:pStyle w:val="ListParagraph"/>
        <w:numPr>
          <w:ilvl w:val="0"/>
          <w:numId w:val="2"/>
        </w:numPr>
        <w:spacing w:after="40" w:before="40"/>
      </w:pPr>
      <w:r>
        <w:rPr>
          <w:rFonts w:ascii="Calibri" w:cs="Calibri" w:eastAsia="Calibri" w:hAnsi="Calibri"/>
          <w:color w:val="1C1C2E"/>
          <w:sz w:val="22"/>
          <w:szCs w:val="22"/>
        </w:rPr>
        <w:t xml:space="preserve">Power management (deep sleep configuration) — wrong settings exhaust the battery in days</w:t>
      </w:r>
    </w:p>
    <w:p>
      <w:pPr>
        <w:pStyle w:val="ListParagraph"/>
        <w:numPr>
          <w:ilvl w:val="0"/>
          <w:numId w:val="2"/>
        </w:numPr>
        <w:spacing w:after="40" w:before="40"/>
      </w:pPr>
      <w:r>
        <w:rPr>
          <w:rFonts w:ascii="Calibri" w:cs="Calibri" w:eastAsia="Calibri" w:hAnsi="Calibri"/>
          <w:color w:val="1C1C2E"/>
          <w:sz w:val="22"/>
          <w:szCs w:val="22"/>
        </w:rPr>
        <w:t xml:space="preserve">Watchdog timers and safety failsafes</w:t>
      </w:r>
    </w:p>
    <w:p>
      <w:pPr>
        <w:pStyle w:val="ListParagraph"/>
        <w:numPr>
          <w:ilvl w:val="0"/>
          <w:numId w:val="2"/>
        </w:numPr>
        <w:spacing w:after="40" w:before="40"/>
      </w:pPr>
      <w:r>
        <w:rPr>
          <w:rFonts w:ascii="Calibri" w:cs="Calibri" w:eastAsia="Calibri" w:hAnsi="Calibri"/>
          <w:color w:val="1C1C2E"/>
          <w:sz w:val="22"/>
          <w:szCs w:val="22"/>
        </w:rPr>
        <w:t xml:space="preserve">Network security (TLS configuration, credential handling)</w:t>
      </w:r>
    </w:p>
    <w:p>
      <w:pPr>
        <w:pStyle w:val="ListParagraph"/>
        <w:numPr>
          <w:ilvl w:val="0"/>
          <w:numId w:val="2"/>
        </w:numPr>
        <w:spacing w:after="40" w:before="40"/>
      </w:pPr>
      <w:r>
        <w:rPr>
          <w:rFonts w:ascii="Calibri" w:cs="Calibri" w:eastAsia="Calibri" w:hAnsi="Calibri"/>
          <w:color w:val="1C1C2E"/>
          <w:sz w:val="22"/>
          <w:szCs w:val="22"/>
        </w:rPr>
        <w:t xml:space="preserve">Anything that triggers a real alarm or actuator</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8F5E9"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Tip  </w:t>
            </w:r>
            <w:r>
              <w:rPr>
                <w:rFonts w:ascii="Calibri" w:cs="Calibri" w:eastAsia="Calibri" w:hAnsi="Calibri"/>
                <w:color w:val="1C1C2E"/>
                <w:sz w:val="22"/>
                <w:szCs w:val="22"/>
              </w:rPr>
              <w:t xml:space="preserve">A simple rule: if the code could cause harm to people, equipment, or data integrity, it must be reviewed line by line — not just trusted because it compiles and runs.</w:t>
            </w:r>
          </w:p>
        </w:tc>
      </w:tr>
    </w:tbl>
    <w:p>
      <w:pPr>
        <w:spacing w:after="100" w:before="0"/>
      </w:pPr>
    </w:p>
    <w:p>
      <w:pPr>
        <w:pStyle w:val="Heading1"/>
      </w:pPr>
      <w:r>
        <w:t xml:space="preserve">3.  Building the Hazard Monitoring Node</w:t>
      </w:r>
    </w:p>
    <w:tbl>
      <w:tblPr>
        <w:tblW w:type="dxa" w:w="9746"/>
        <w:tblBorders>
          <w:top w:val="single" w:color="AAAACC" w:sz="4"/>
          <w:left w:val="single" w:color="3B3B8C" w:sz="20"/>
          <w:bottom w:val="single" w:color="AAAACC" w:sz="4"/>
          <w:right w:val="single" w:color="AAAACC"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60"/>
              <w:bottom w:type="dxa" w:w="100"/>
              <w:right w:type="dxa" w:w="140"/>
            </w:tcMar>
          </w:tcPr>
          <w:p>
            <w:pPr>
              <w:spacing w:after="40" w:before="40"/>
            </w:pPr>
            <w:r>
              <w:rPr>
                <w:rFonts w:ascii="Calibri" w:cs="Calibri" w:eastAsia="Calibri" w:hAnsi="Calibri"/>
                <w:color w:val="595959"/>
                <w:sz w:val="22"/>
                <w:szCs w:val="22"/>
              </w:rPr>
              <w:t xml:space="preserve">This section walks through the hands-on build: a complete sensor node that reads tilt, pressure, and soil moisture, publishes via MQTT, and feeds the persistent storage layer.</w:t>
            </w:r>
          </w:p>
        </w:tc>
      </w:tr>
    </w:tbl>
    <w:p>
      <w:pPr>
        <w:spacing w:after="100" w:before="0"/>
      </w:pPr>
    </w:p>
    <w:p>
      <w:pPr>
        <w:pStyle w:val="Heading2"/>
      </w:pPr>
      <w:r>
        <w:t xml:space="preserve">3.1  Three Parallel Tracks</w:t>
      </w:r>
    </w:p>
    <w:p>
      <w:pPr>
        <w:spacing w:after="80" w:before="80"/>
      </w:pPr>
      <w:r>
        <w:rPr>
          <w:rFonts w:ascii="Calibri" w:cs="Calibri" w:eastAsia="Calibri" w:hAnsi="Calibri"/>
          <w:b w:val="false"/>
          <w:bCs w:val="false"/>
          <w:color w:val="1C1C2E"/>
          <w:sz w:val="22"/>
          <w:szCs w:val="22"/>
        </w:rPr>
        <w:t xml:space="preserve">The hands-on session offers three tracks, all converging on the same end-state — a sensor node publishing data via MQTT to a live shared dashboard:</w:t>
      </w:r>
    </w:p>
    <w:p>
      <w:pPr>
        <w:pStyle w:val="ListParagraph"/>
        <w:numPr>
          <w:ilvl w:val="0"/>
          <w:numId w:val="2"/>
        </w:numPr>
        <w:spacing w:after="40" w:before="40"/>
      </w:pPr>
      <w:r>
        <w:rPr>
          <w:rFonts w:ascii="Calibri" w:cs="Calibri" w:eastAsia="Calibri" w:hAnsi="Calibri"/>
          <w:color w:val="1C1C2E"/>
          <w:sz w:val="22"/>
          <w:szCs w:val="22"/>
        </w:rPr>
        <w:t xml:space="preserve">Track A — ESP32 + MicroPython: real hardware, real sensors, real WiFi. Best for students who want field-deployment experience. Code is portable to LoRa for remote locations.</w:t>
      </w:r>
    </w:p>
    <w:p>
      <w:pPr>
        <w:pStyle w:val="ListParagraph"/>
        <w:numPr>
          <w:ilvl w:val="0"/>
          <w:numId w:val="2"/>
        </w:numPr>
        <w:spacing w:after="40" w:before="40"/>
      </w:pPr>
      <w:r>
        <w:rPr>
          <w:rFonts w:ascii="Calibri" w:cs="Calibri" w:eastAsia="Calibri" w:hAnsi="Calibri"/>
          <w:color w:val="1C1C2E"/>
          <w:sz w:val="22"/>
          <w:szCs w:val="22"/>
        </w:rPr>
        <w:t xml:space="preserve">Track B — Raspberry Pi + Python: full Linux environment, easier debugging via SSH, can also handle camera input and edge ML. Best for students working on heavier compute.</w:t>
      </w:r>
    </w:p>
    <w:p>
      <w:pPr>
        <w:pStyle w:val="ListParagraph"/>
        <w:numPr>
          <w:ilvl w:val="0"/>
          <w:numId w:val="2"/>
        </w:numPr>
        <w:spacing w:after="40" w:before="40"/>
      </w:pPr>
      <w:r>
        <w:rPr>
          <w:rFonts w:ascii="Calibri" w:cs="Calibri" w:eastAsia="Calibri" w:hAnsi="Calibri"/>
          <w:color w:val="1C1C2E"/>
          <w:sz w:val="22"/>
          <w:szCs w:val="22"/>
        </w:rPr>
        <w:t xml:space="preserve">Track C — Wokwi browser simulation: no hardware required, runs identical ESP32 code in a browser-based simulator. Best for students without a physical kit, or as a fallback if hardware arrives late.</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Key Point  </w:t>
            </w:r>
            <w:r>
              <w:rPr>
                <w:rFonts w:ascii="Calibri" w:cs="Calibri" w:eastAsia="Calibri" w:hAnsi="Calibri"/>
                <w:color w:val="1C1C2E"/>
                <w:sz w:val="22"/>
                <w:szCs w:val="22"/>
              </w:rPr>
              <w:t xml:space="preserve">All three tracks use the same MQTT topics and JSON message format. Students from different tracks can therefore see each other's data on the shared dashboard.</w:t>
            </w:r>
          </w:p>
        </w:tc>
      </w:tr>
    </w:tbl>
    <w:p>
      <w:pPr>
        <w:spacing w:after="100" w:before="0"/>
      </w:pPr>
    </w:p>
    <w:p>
      <w:pPr>
        <w:pStyle w:val="Heading2"/>
      </w:pPr>
      <w:r>
        <w:t xml:space="preserve">3.2  Sensor Node Behaviour</w:t>
      </w:r>
    </w:p>
    <w:p>
      <w:pPr>
        <w:spacing w:after="80" w:before="80"/>
      </w:pPr>
      <w:r>
        <w:rPr>
          <w:rFonts w:ascii="Calibri" w:cs="Calibri" w:eastAsia="Calibri" w:hAnsi="Calibri"/>
          <w:b w:val="false"/>
          <w:bCs w:val="false"/>
          <w:color w:val="1C1C2E"/>
          <w:sz w:val="22"/>
          <w:szCs w:val="22"/>
        </w:rPr>
        <w:t xml:space="preserve">By the end of the hands-on session, each student will have a working IoT node that:</w:t>
      </w:r>
    </w:p>
    <w:p>
      <w:pPr>
        <w:pStyle w:val="ListParagraph"/>
        <w:numPr>
          <w:ilvl w:val="0"/>
          <w:numId w:val="2"/>
        </w:numPr>
        <w:spacing w:after="40" w:before="40"/>
      </w:pPr>
      <w:r>
        <w:rPr>
          <w:rFonts w:ascii="Calibri" w:cs="Calibri" w:eastAsia="Calibri" w:hAnsi="Calibri"/>
          <w:color w:val="1C1C2E"/>
          <w:sz w:val="22"/>
          <w:szCs w:val="22"/>
        </w:rPr>
        <w:t xml:space="preserve">Reads tilt (degrees from vertical) from the MPU6050 every 5 seconds</w:t>
      </w:r>
    </w:p>
    <w:p>
      <w:pPr>
        <w:pStyle w:val="ListParagraph"/>
        <w:numPr>
          <w:ilvl w:val="0"/>
          <w:numId w:val="2"/>
        </w:numPr>
        <w:spacing w:after="40" w:before="40"/>
      </w:pPr>
      <w:r>
        <w:rPr>
          <w:rFonts w:ascii="Calibri" w:cs="Calibri" w:eastAsia="Calibri" w:hAnsi="Calibri"/>
          <w:color w:val="1C1C2E"/>
          <w:sz w:val="22"/>
          <w:szCs w:val="22"/>
        </w:rPr>
        <w:t xml:space="preserve">Reads atmospheric pressure (hPa) and temperature (°C) from the BMP280 every 30 seconds</w:t>
      </w:r>
    </w:p>
    <w:p>
      <w:pPr>
        <w:pStyle w:val="ListParagraph"/>
        <w:numPr>
          <w:ilvl w:val="0"/>
          <w:numId w:val="2"/>
        </w:numPr>
        <w:spacing w:after="40" w:before="40"/>
      </w:pPr>
      <w:r>
        <w:rPr>
          <w:rFonts w:ascii="Calibri" w:cs="Calibri" w:eastAsia="Calibri" w:hAnsi="Calibri"/>
          <w:color w:val="1C1C2E"/>
          <w:sz w:val="22"/>
          <w:szCs w:val="22"/>
        </w:rPr>
        <w:t xml:space="preserve">Reads soil moisture (percentage) from the capacitive sensor every 60 seconds</w:t>
      </w:r>
    </w:p>
    <w:p>
      <w:pPr>
        <w:pStyle w:val="ListParagraph"/>
        <w:numPr>
          <w:ilvl w:val="0"/>
          <w:numId w:val="2"/>
        </w:numPr>
        <w:spacing w:after="40" w:before="40"/>
      </w:pPr>
      <w:r>
        <w:rPr>
          <w:rFonts w:ascii="Calibri" w:cs="Calibri" w:eastAsia="Calibri" w:hAnsi="Calibri"/>
          <w:color w:val="1C1C2E"/>
          <w:sz w:val="22"/>
          <w:szCs w:val="22"/>
        </w:rPr>
        <w:t xml:space="preserve">Publishes all readings as JSON messages to topic-structured MQTT (e.g., digihaz/{site}/all)</w:t>
      </w:r>
    </w:p>
    <w:p>
      <w:pPr>
        <w:spacing w:after="100" w:before="0"/>
      </w:pPr>
    </w:p>
    <w:p>
      <w:pPr>
        <w:pStyle w:val="Heading1"/>
      </w:pPr>
      <w:r>
        <w:t xml:space="preserve">4.  Persistent Storage and Live Dashboard</w:t>
      </w:r>
    </w:p>
    <w:tbl>
      <w:tblPr>
        <w:tblW w:type="dxa" w:w="9746"/>
        <w:tblBorders>
          <w:top w:val="single" w:color="AAAACC" w:sz="4"/>
          <w:left w:val="single" w:color="3B3B8C" w:sz="20"/>
          <w:bottom w:val="single" w:color="AAAACC" w:sz="4"/>
          <w:right w:val="single" w:color="AAAACC"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60"/>
              <w:bottom w:type="dxa" w:w="100"/>
              <w:right w:type="dxa" w:w="140"/>
            </w:tcMar>
          </w:tcPr>
          <w:p>
            <w:pPr>
              <w:spacing w:after="40" w:before="40"/>
            </w:pPr>
            <w:r>
              <w:rPr>
                <w:rFonts w:ascii="Calibri" w:cs="Calibri" w:eastAsia="Calibri" w:hAnsi="Calibri"/>
                <w:color w:val="595959"/>
                <w:sz w:val="22"/>
                <w:szCs w:val="22"/>
              </w:rPr>
              <w:t xml:space="preserve">MQTT is a transport, not a database — messages flow through and are gone. This section explains how InfluxDB and Grafana turn the ephemeral data stream into a queryable archive and a visual dashboard.</w:t>
            </w:r>
          </w:p>
        </w:tc>
      </w:tr>
    </w:tbl>
    <w:p>
      <w:pPr>
        <w:spacing w:after="100" w:before="0"/>
      </w:pPr>
    </w:p>
    <w:p>
      <w:pPr>
        <w:pStyle w:val="Heading2"/>
      </w:pPr>
      <w:r>
        <w:t xml:space="preserve">4.1  Why a Time-Series Database?</w:t>
      </w:r>
    </w:p>
    <w:p>
      <w:pPr>
        <w:spacing w:after="80" w:before="80"/>
      </w:pPr>
      <w:r>
        <w:rPr>
          <w:rFonts w:ascii="Calibri" w:cs="Calibri" w:eastAsia="Calibri" w:hAnsi="Calibri"/>
          <w:b w:val="false"/>
          <w:bCs w:val="false"/>
          <w:color w:val="1C1C2E"/>
          <w:sz w:val="22"/>
          <w:szCs w:val="22"/>
        </w:rPr>
        <w:t xml:space="preserve">MQTT brokers do not store messages — once a subscriber receives a message, it is gone. For any analysis beyond instantaneous monitoring, the data stream must be persisted. The natural choice for IoT data is a time-series database: a database engine optimised for the access patterns of sensor data (append-only writes, time-range queries, downsampling, retention policies).</w:t>
      </w:r>
    </w:p>
    <w:p>
      <w:pPr>
        <w:spacing w:after="80" w:before="80"/>
      </w:pPr>
      <w:r>
        <w:rPr>
          <w:rFonts w:ascii="Calibri" w:cs="Calibri" w:eastAsia="Calibri" w:hAnsi="Calibri"/>
          <w:b w:val="false"/>
          <w:bCs w:val="false"/>
          <w:color w:val="1C1C2E"/>
          <w:sz w:val="22"/>
          <w:szCs w:val="22"/>
        </w:rPr>
        <w:t xml:space="preserve">The workshop uses InfluxDB Cloud — the free tier offers 30 days of retention, 5 GB of writes, and 300 MB of queries per day, comfortably accommodating a full workshop with dozens of nodes. Other comparable options include TimescaleDB (PostgreSQL-based), QuestDB, and AWS Timestream.</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Key Point  </w:t>
            </w:r>
            <w:r>
              <w:rPr>
                <w:rFonts w:ascii="Calibri" w:cs="Calibri" w:eastAsia="Calibri" w:hAnsi="Calibri"/>
                <w:color w:val="1C1C2E"/>
                <w:sz w:val="22"/>
                <w:szCs w:val="22"/>
              </w:rPr>
              <w:t xml:space="preserve">The pattern is: sensors publish to MQTT (transport), a bridge subscribes to MQTT and writes to InfluxDB (persistence), and Grafana queries InfluxDB (visualisation). Each tool does one job well; their separation is the architecture.</w:t>
            </w:r>
          </w:p>
        </w:tc>
      </w:tr>
    </w:tbl>
    <w:p>
      <w:pPr>
        <w:spacing w:after="100" w:before="0"/>
      </w:pPr>
    </w:p>
    <w:p>
      <w:pPr>
        <w:pStyle w:val="Heading2"/>
      </w:pPr>
      <w:r>
        <w:t xml:space="preserve">4.2  The MQTT-to-InfluxDB Bridge</w:t>
      </w:r>
    </w:p>
    <w:p>
      <w:pPr>
        <w:spacing w:after="80" w:before="80"/>
      </w:pPr>
      <w:r>
        <w:rPr>
          <w:rFonts w:ascii="Calibri" w:cs="Calibri" w:eastAsia="Calibri" w:hAnsi="Calibri"/>
          <w:b w:val="false"/>
          <w:bCs w:val="false"/>
          <w:color w:val="1C1C2E"/>
          <w:sz w:val="22"/>
          <w:szCs w:val="22"/>
        </w:rPr>
        <w:t xml:space="preserve">The bridge is a small Python service (~150 lines) that subscribes to the MQTT topic, parses each incoming JSON message, and writes a corresponding point to InfluxDB. The workshop provides a ready-made bridge (mqtt_to_influx_bridge.py) plus a systemd unit file (digihaz-bridge.service) that allows the bridge to run unattended on a Raspberry Pi or a free-tier cloud VM.</w:t>
      </w:r>
    </w:p>
    <w:p>
      <w:pPr>
        <w:pStyle w:val="ListParagraph"/>
        <w:numPr>
          <w:ilvl w:val="0"/>
          <w:numId w:val="2"/>
        </w:numPr>
        <w:spacing w:after="40" w:before="40"/>
      </w:pPr>
      <w:r>
        <w:rPr>
          <w:rFonts w:ascii="Calibri" w:cs="Calibri" w:eastAsia="Calibri" w:hAnsi="Calibri"/>
          <w:color w:val="1C1C2E"/>
          <w:sz w:val="22"/>
          <w:szCs w:val="22"/>
        </w:rPr>
        <w:t xml:space="preserve">One bridge instance handles all participating sensor nodes — there is no per-node configuration</w:t>
      </w:r>
    </w:p>
    <w:p>
      <w:pPr>
        <w:pStyle w:val="ListParagraph"/>
        <w:numPr>
          <w:ilvl w:val="0"/>
          <w:numId w:val="2"/>
        </w:numPr>
        <w:spacing w:after="40" w:before="40"/>
      </w:pPr>
      <w:r>
        <w:rPr>
          <w:rFonts w:ascii="Calibri" w:cs="Calibri" w:eastAsia="Calibri" w:hAnsi="Calibri"/>
          <w:color w:val="1C1C2E"/>
          <w:sz w:val="22"/>
          <w:szCs w:val="22"/>
        </w:rPr>
        <w:t xml:space="preserve">Tags (site, alert) and fields (tilt_deg, press_hpa, soil_pct) are mapped from the JSON message structure</w:t>
      </w:r>
    </w:p>
    <w:p>
      <w:pPr>
        <w:pStyle w:val="ListParagraph"/>
        <w:numPr>
          <w:ilvl w:val="0"/>
          <w:numId w:val="2"/>
        </w:numPr>
        <w:spacing w:after="40" w:before="40"/>
      </w:pPr>
      <w:r>
        <w:rPr>
          <w:rFonts w:ascii="Calibri" w:cs="Calibri" w:eastAsia="Calibri" w:hAnsi="Calibri"/>
          <w:color w:val="1C1C2E"/>
          <w:sz w:val="22"/>
          <w:szCs w:val="22"/>
        </w:rPr>
        <w:t xml:space="preserve">The bridge maintains its own statistics counter (messages received, written, errors) for monitoring health</w:t>
      </w:r>
    </w:p>
    <w:p>
      <w:pPr>
        <w:spacing w:after="100" w:before="0"/>
      </w:pPr>
    </w:p>
    <w:p>
      <w:pPr>
        <w:pStyle w:val="Heading2"/>
      </w:pPr>
      <w:r>
        <w:t xml:space="preserve">4.3  The Grafana Dashboard</w:t>
      </w:r>
    </w:p>
    <w:p>
      <w:pPr>
        <w:spacing w:after="80" w:before="80"/>
      </w:pPr>
      <w:r>
        <w:rPr>
          <w:rFonts w:ascii="Calibri" w:cs="Calibri" w:eastAsia="Calibri" w:hAnsi="Calibri"/>
          <w:b w:val="false"/>
          <w:bCs w:val="false"/>
          <w:color w:val="1C1C2E"/>
          <w:sz w:val="22"/>
          <w:szCs w:val="22"/>
        </w:rPr>
        <w:t xml:space="preserve">Grafana queries InfluxDB using the Flux query language and renders the results as a live, auto-refreshing dashboard. The workshop provides a pre-built dashboard (digihaz_dashboard.json) with seven panels:</w:t>
      </w:r>
    </w:p>
    <w:p>
      <w:pPr>
        <w:pStyle w:val="ListParagraph"/>
        <w:numPr>
          <w:ilvl w:val="0"/>
          <w:numId w:val="2"/>
        </w:numPr>
        <w:spacing w:after="40" w:before="40"/>
      </w:pPr>
      <w:r>
        <w:rPr>
          <w:rFonts w:ascii="Calibri" w:cs="Calibri" w:eastAsia="Calibri" w:hAnsi="Calibri"/>
          <w:color w:val="1C1C2E"/>
          <w:sz w:val="22"/>
          <w:szCs w:val="22"/>
        </w:rPr>
        <w:t xml:space="preserve">Alert status stat tiles — large coloured indicators (green/yellow/red) per site</w:t>
      </w:r>
    </w:p>
    <w:p>
      <w:pPr>
        <w:pStyle w:val="ListParagraph"/>
        <w:numPr>
          <w:ilvl w:val="0"/>
          <w:numId w:val="2"/>
        </w:numPr>
        <w:spacing w:after="40" w:before="40"/>
      </w:pPr>
      <w:r>
        <w:rPr>
          <w:rFonts w:ascii="Calibri" w:cs="Calibri" w:eastAsia="Calibri" w:hAnsi="Calibri"/>
          <w:color w:val="1C1C2E"/>
          <w:sz w:val="22"/>
          <w:szCs w:val="22"/>
        </w:rPr>
        <w:t xml:space="preserve">Tilt time-series with threshold lines drawn at 5° and 10°</w:t>
      </w:r>
    </w:p>
    <w:p>
      <w:pPr>
        <w:pStyle w:val="ListParagraph"/>
        <w:numPr>
          <w:ilvl w:val="0"/>
          <w:numId w:val="2"/>
        </w:numPr>
        <w:spacing w:after="40" w:before="40"/>
      </w:pPr>
      <w:r>
        <w:rPr>
          <w:rFonts w:ascii="Calibri" w:cs="Calibri" w:eastAsia="Calibri" w:hAnsi="Calibri"/>
          <w:color w:val="1C1C2E"/>
          <w:sz w:val="22"/>
          <w:szCs w:val="22"/>
        </w:rPr>
        <w:t xml:space="preserve">Soil moisture time-series with threshold lines at 80% and 90%</w:t>
      </w:r>
    </w:p>
    <w:p>
      <w:pPr>
        <w:pStyle w:val="ListParagraph"/>
        <w:numPr>
          <w:ilvl w:val="0"/>
          <w:numId w:val="2"/>
        </w:numPr>
        <w:spacing w:after="40" w:before="40"/>
      </w:pPr>
      <w:r>
        <w:rPr>
          <w:rFonts w:ascii="Calibri" w:cs="Calibri" w:eastAsia="Calibri" w:hAnsi="Calibri"/>
          <w:color w:val="1C1C2E"/>
          <w:sz w:val="22"/>
          <w:szCs w:val="22"/>
        </w:rPr>
        <w:t xml:space="preserve">Atmospheric pressure time-series</w:t>
      </w:r>
    </w:p>
    <w:p>
      <w:pPr>
        <w:pStyle w:val="ListParagraph"/>
        <w:numPr>
          <w:ilvl w:val="0"/>
          <w:numId w:val="2"/>
        </w:numPr>
        <w:spacing w:after="40" w:before="40"/>
      </w:pPr>
      <w:r>
        <w:rPr>
          <w:rFonts w:ascii="Calibri" w:cs="Calibri" w:eastAsia="Calibri" w:hAnsi="Calibri"/>
          <w:color w:val="1C1C2E"/>
          <w:sz w:val="22"/>
          <w:szCs w:val="22"/>
        </w:rPr>
        <w:t xml:space="preserve">Pressure trend (hPa/hour) derivative panel — storm indicator</w:t>
      </w:r>
    </w:p>
    <w:p>
      <w:pPr>
        <w:pStyle w:val="ListParagraph"/>
        <w:numPr>
          <w:ilvl w:val="0"/>
          <w:numId w:val="2"/>
        </w:numPr>
        <w:spacing w:after="40" w:before="40"/>
      </w:pPr>
      <w:r>
        <w:rPr>
          <w:rFonts w:ascii="Calibri" w:cs="Calibri" w:eastAsia="Calibri" w:hAnsi="Calibri"/>
          <w:color w:val="1C1C2E"/>
          <w:sz w:val="22"/>
          <w:szCs w:val="22"/>
        </w:rPr>
        <w:t xml:space="preserve">Alert counts table — number of YELLOW and RED events per site, last 24 hours</w:t>
      </w:r>
    </w:p>
    <w:p>
      <w:pPr>
        <w:pStyle w:val="ListParagraph"/>
        <w:numPr>
          <w:ilvl w:val="0"/>
          <w:numId w:val="2"/>
        </w:numPr>
        <w:spacing w:after="40" w:before="40"/>
      </w:pPr>
      <w:r>
        <w:rPr>
          <w:rFonts w:ascii="Calibri" w:cs="Calibri" w:eastAsia="Calibri" w:hAnsi="Calibri"/>
          <w:color w:val="1C1C2E"/>
          <w:sz w:val="22"/>
          <w:szCs w:val="22"/>
        </w:rPr>
        <w:t xml:space="preserve">Latest readings table — current value from every sensor at every site</w:t>
      </w:r>
    </w:p>
    <w:p>
      <w:pPr>
        <w:spacing w:after="100" w:before="0"/>
      </w:pPr>
    </w:p>
    <w:p>
      <w:pPr>
        <w:spacing w:after="80" w:before="80"/>
      </w:pPr>
      <w:r>
        <w:rPr>
          <w:rFonts w:ascii="Calibri" w:cs="Calibri" w:eastAsia="Calibri" w:hAnsi="Calibri"/>
          <w:b w:val="false"/>
          <w:bCs w:val="false"/>
          <w:color w:val="1C1C2E"/>
          <w:sz w:val="22"/>
          <w:szCs w:val="22"/>
        </w:rPr>
        <w:t xml:space="preserve">The dashboard auto-refreshes every 5 seconds. Grafana supports public sharing: with one toggle, the dashboard URL becomes accessible to anyone without a Grafana account. This is how students see each other's data during the workshop — and how a future field deployment could share its monitoring view with civil protection authorities.</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8F5E9"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Tip  </w:t>
            </w:r>
            <w:r>
              <w:rPr>
                <w:rFonts w:ascii="Calibri" w:cs="Calibri" w:eastAsia="Calibri" w:hAnsi="Calibri"/>
                <w:color w:val="1C1C2E"/>
                <w:sz w:val="22"/>
                <w:szCs w:val="22"/>
              </w:rPr>
              <w:t xml:space="preserve">In the workshop, the instructor creates the InfluxDB and Grafana accounts once and shares the read-only token plus public dashboard URL with students. Students do not need their own accounts to participate.</w:t>
            </w:r>
          </w:p>
        </w:tc>
      </w:tr>
    </w:tbl>
    <w:p>
      <w:pPr>
        <w:spacing w:after="100" w:before="0"/>
      </w:pPr>
    </w:p>
    <w:p>
      <w:pPr>
        <w:pStyle w:val="Heading1"/>
      </w:pPr>
      <w:r>
        <w:t xml:space="preserve">5.  Alert Rules and Dissemination</w:t>
      </w:r>
    </w:p>
    <w:tbl>
      <w:tblPr>
        <w:tblW w:type="dxa" w:w="9746"/>
        <w:tblBorders>
          <w:top w:val="single" w:color="AAAACC" w:sz="4"/>
          <w:left w:val="single" w:color="3B3B8C" w:sz="20"/>
          <w:bottom w:val="single" w:color="AAAACC" w:sz="4"/>
          <w:right w:val="single" w:color="AAAACC"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60"/>
              <w:bottom w:type="dxa" w:w="100"/>
              <w:right w:type="dxa" w:w="140"/>
            </w:tcMar>
          </w:tcPr>
          <w:p>
            <w:pPr>
              <w:spacing w:after="40" w:before="40"/>
            </w:pPr>
            <w:r>
              <w:rPr>
                <w:rFonts w:ascii="Calibri" w:cs="Calibri" w:eastAsia="Calibri" w:hAnsi="Calibri"/>
                <w:color w:val="595959"/>
                <w:sz w:val="22"/>
                <w:szCs w:val="22"/>
              </w:rPr>
              <w:t xml:space="preserve">A dashboard people have to actively watch is not an Early Warning System. This section turns the data stream into automated, multi-channel alerts that reach the right people on their phones.</w:t>
            </w:r>
          </w:p>
        </w:tc>
      </w:tr>
    </w:tbl>
    <w:p>
      <w:pPr>
        <w:spacing w:after="100" w:before="0"/>
      </w:pPr>
    </w:p>
    <w:p>
      <w:pPr>
        <w:pStyle w:val="Heading2"/>
      </w:pPr>
      <w:r>
        <w:t xml:space="preserve">5.1  The Alert State Machine</w:t>
      </w:r>
    </w:p>
    <w:p>
      <w:pPr>
        <w:spacing w:after="80" w:before="80"/>
      </w:pPr>
      <w:r>
        <w:rPr>
          <w:rFonts w:ascii="Calibri" w:cs="Calibri" w:eastAsia="Calibri" w:hAnsi="Calibri"/>
          <w:b w:val="false"/>
          <w:bCs w:val="false"/>
          <w:color w:val="1C1C2E"/>
          <w:sz w:val="22"/>
          <w:szCs w:val="22"/>
        </w:rPr>
        <w:t xml:space="preserve">Naive threshold rules have a problem: a single sensor sample crossing the threshold should not fire an alert (it might be noise), and a brief excursion back to safe values should not silence an ongoing alert (the underlying condition may still be developing). Production alerting systems use a state machine with four states:</w:t>
      </w:r>
    </w:p>
    <w:p>
      <w:pPr>
        <w:pStyle w:val="ListParagraph"/>
        <w:numPr>
          <w:ilvl w:val="0"/>
          <w:numId w:val="2"/>
        </w:numPr>
        <w:spacing w:after="40" w:before="40"/>
      </w:pPr>
      <w:r>
        <w:rPr>
          <w:rFonts w:ascii="Calibri" w:cs="Calibri" w:eastAsia="Calibri" w:hAnsi="Calibri"/>
          <w:color w:val="1C1C2E"/>
          <w:sz w:val="22"/>
          <w:szCs w:val="22"/>
        </w:rPr>
        <w:t xml:space="preserve">OK — condition is not currently true; no action</w:t>
      </w:r>
    </w:p>
    <w:p>
      <w:pPr>
        <w:pStyle w:val="ListParagraph"/>
        <w:numPr>
          <w:ilvl w:val="0"/>
          <w:numId w:val="2"/>
        </w:numPr>
        <w:spacing w:after="40" w:before="40"/>
      </w:pPr>
      <w:r>
        <w:rPr>
          <w:rFonts w:ascii="Calibri" w:cs="Calibri" w:eastAsia="Calibri" w:hAnsi="Calibri"/>
          <w:color w:val="1C1C2E"/>
          <w:sz w:val="22"/>
          <w:szCs w:val="22"/>
        </w:rPr>
        <w:t xml:space="preserve">PENDING — condition just became true; an internal timer is running but no notification has been sent yet</w:t>
      </w:r>
    </w:p>
    <w:p>
      <w:pPr>
        <w:pStyle w:val="ListParagraph"/>
        <w:numPr>
          <w:ilvl w:val="0"/>
          <w:numId w:val="2"/>
        </w:numPr>
        <w:spacing w:after="40" w:before="40"/>
      </w:pPr>
      <w:r>
        <w:rPr>
          <w:rFonts w:ascii="Calibri" w:cs="Calibri" w:eastAsia="Calibri" w:hAnsi="Calibri"/>
          <w:color w:val="1C1C2E"/>
          <w:sz w:val="22"/>
          <w:szCs w:val="22"/>
        </w:rPr>
        <w:t xml:space="preserve">FIRING — the configured duration has elapsed with the condition still true; the alert notification has been sent</w:t>
      </w:r>
    </w:p>
    <w:p>
      <w:pPr>
        <w:pStyle w:val="ListParagraph"/>
        <w:numPr>
          <w:ilvl w:val="0"/>
          <w:numId w:val="2"/>
        </w:numPr>
        <w:spacing w:after="40" w:before="40"/>
      </w:pPr>
      <w:r>
        <w:rPr>
          <w:rFonts w:ascii="Calibri" w:cs="Calibri" w:eastAsia="Calibri" w:hAnsi="Calibri"/>
          <w:color w:val="1C1C2E"/>
          <w:sz w:val="22"/>
          <w:szCs w:val="22"/>
        </w:rPr>
        <w:t xml:space="preserve">RESOLVED — the alert was firing and the condition is no longer true; a resolution notification is sent</w:t>
      </w:r>
    </w:p>
    <w:p>
      <w:pPr>
        <w:spacing w:after="100" w:before="0"/>
      </w:pPr>
    </w:p>
    <w:p>
      <w:pPr>
        <w:spacing w:after="80" w:before="80"/>
      </w:pPr>
      <w:r>
        <w:rPr>
          <w:rFonts w:ascii="Calibri" w:cs="Calibri" w:eastAsia="Calibri" w:hAnsi="Calibri"/>
          <w:b w:val="false"/>
          <w:bCs w:val="false"/>
          <w:color w:val="1C1C2E"/>
          <w:sz w:val="22"/>
          <w:szCs w:val="22"/>
        </w:rPr>
        <w:t xml:space="preserve">The PENDING state is critical because it implements the "minimum duration" requirement. Grafana calls this the `For:` setting on each rule. A typical landslide rule might require the condition to persist for 2 minutes; a pressure-drop storm warning might require 5 minutes. This single mechanism filters out the overwhelming majority of false alarms caused by sensor noise.</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Key Point  </w:t>
            </w:r>
            <w:r>
              <w:rPr>
                <w:rFonts w:ascii="Calibri" w:cs="Calibri" w:eastAsia="Calibri" w:hAnsi="Calibri"/>
                <w:color w:val="1C1C2E"/>
                <w:sz w:val="22"/>
                <w:szCs w:val="22"/>
              </w:rPr>
              <w:t xml:space="preserve">Alert rules in production are not simple if-statements. They are stateful, time-aware evaluators. The state machine is what separates a real alerting system from a series of one-off notifications.</w:t>
            </w:r>
          </w:p>
        </w:tc>
      </w:tr>
    </w:tbl>
    <w:p>
      <w:pPr>
        <w:spacing w:after="100" w:before="0"/>
      </w:pPr>
    </w:p>
    <w:p>
      <w:pPr>
        <w:pStyle w:val="Heading2"/>
      </w:pPr>
      <w:r>
        <w:t xml:space="preserve">5.2  Where Alert Rules Live: Grafana vs. Code</w:t>
      </w:r>
    </w:p>
    <w:p>
      <w:pPr>
        <w:spacing w:after="80" w:before="80"/>
      </w:pPr>
      <w:r>
        <w:rPr>
          <w:rFonts w:ascii="Calibri" w:cs="Calibri" w:eastAsia="Calibri" w:hAnsi="Calibri"/>
          <w:b w:val="false"/>
          <w:bCs w:val="false"/>
          <w:color w:val="1C1C2E"/>
          <w:sz w:val="22"/>
          <w:szCs w:val="22"/>
        </w:rPr>
        <w:t xml:space="preserve">The workshop teaches alert rules in two complementary ways:</w:t>
      </w:r>
    </w:p>
    <w:p>
      <w:pPr>
        <w:pStyle w:val="ListParagraph"/>
        <w:numPr>
          <w:ilvl w:val="0"/>
          <w:numId w:val="2"/>
        </w:numPr>
        <w:spacing w:after="40" w:before="40"/>
      </w:pPr>
      <w:r>
        <w:rPr>
          <w:rFonts w:ascii="Calibri" w:cs="Calibri" w:eastAsia="Calibri" w:hAnsi="Calibri"/>
          <w:color w:val="1C1C2E"/>
          <w:sz w:val="22"/>
          <w:szCs w:val="22"/>
        </w:rPr>
        <w:t xml:space="preserve">In Grafana (production) — alert rules configured in the Grafana UI, evaluated every minute by Grafana's own engine, with persistent state across restarts. This is what a real deployment uses. The workshop provides four pre-built rules (grafana_alert_rules.json) covering Landslide RED, Landslide YELLOW, Storm Approaching, and Sensor Offline scenarios.</w:t>
      </w:r>
    </w:p>
    <w:p>
      <w:pPr>
        <w:pStyle w:val="ListParagraph"/>
        <w:numPr>
          <w:ilvl w:val="0"/>
          <w:numId w:val="2"/>
        </w:numPr>
        <w:spacing w:after="40" w:before="40"/>
      </w:pPr>
      <w:r>
        <w:rPr>
          <w:rFonts w:ascii="Calibri" w:cs="Calibri" w:eastAsia="Calibri" w:hAnsi="Calibri"/>
          <w:color w:val="1C1C2E"/>
          <w:sz w:val="22"/>
          <w:szCs w:val="22"/>
        </w:rPr>
        <w:t xml:space="preserve">In Python (notebook) — students implement the same state machine in code (Notebook 4) so they understand what is actually happening inside Grafana. This builds intuition and allows custom logic that Grafana does not support directly (e.g., combining sensor data with external weather forecasts).</w:t>
      </w:r>
    </w:p>
    <w:p>
      <w:pPr>
        <w:spacing w:after="100" w:before="0"/>
      </w:pPr>
    </w:p>
    <w:p>
      <w:pPr>
        <w:spacing w:after="80" w:before="80"/>
      </w:pPr>
      <w:r>
        <w:rPr>
          <w:rFonts w:ascii="Calibri" w:cs="Calibri" w:eastAsia="Calibri" w:hAnsi="Calibri"/>
          <w:b w:val="false"/>
          <w:bCs w:val="false"/>
          <w:color w:val="1C1C2E"/>
          <w:sz w:val="22"/>
          <w:szCs w:val="22"/>
        </w:rPr>
        <w:t xml:space="preserve">Both implementations should produce identical results on the same data — and verifying this is part of the workshop assignment.</w:t>
      </w:r>
    </w:p>
    <w:p>
      <w:pPr>
        <w:spacing w:after="100" w:before="0"/>
      </w:pPr>
    </w:p>
    <w:p>
      <w:pPr>
        <w:pStyle w:val="Heading2"/>
      </w:pPr>
      <w:r>
        <w:t xml:space="preserve">5.3  Dissemination Channels: Telegram and Browser Push</w:t>
      </w:r>
    </w:p>
    <w:p>
      <w:pPr>
        <w:spacing w:after="80" w:before="80"/>
      </w:pPr>
      <w:r>
        <w:rPr>
          <w:rFonts w:ascii="Calibri" w:cs="Calibri" w:eastAsia="Calibri" w:hAnsi="Calibri"/>
          <w:b w:val="false"/>
          <w:bCs w:val="false"/>
          <w:color w:val="1C1C2E"/>
          <w:sz w:val="22"/>
          <w:szCs w:val="22"/>
        </w:rPr>
        <w:t xml:space="preserve">An alert that fires inside Grafana but never leaves the database is useless. The dissemination layer routes each alert to one or more channels, formatted appropriately for that channel.</w:t>
      </w:r>
    </w:p>
    <w:p>
      <w:pPr>
        <w:spacing w:after="100" w:before="0"/>
      </w:pPr>
    </w:p>
    <w:p>
      <w:pPr>
        <w:pStyle w:val="Heading3"/>
      </w:pPr>
      <w:r>
        <w:t xml:space="preserve">5.3.1  Telegram Bot</w:t>
      </w:r>
    </w:p>
    <w:p>
      <w:pPr>
        <w:spacing w:after="80" w:before="80"/>
      </w:pPr>
      <w:r>
        <w:rPr>
          <w:rFonts w:ascii="Calibri" w:cs="Calibri" w:eastAsia="Calibri" w:hAnsi="Calibri"/>
          <w:b w:val="false"/>
          <w:bCs w:val="false"/>
          <w:color w:val="1C1C2E"/>
          <w:sz w:val="22"/>
          <w:szCs w:val="22"/>
        </w:rPr>
        <w:t xml:space="preserve">Telegram is well-suited for workshop alerts: free, instant, every student already has the app, no payment or new account beyond a one-time bot creation. Setup takes about five minutes — message @BotFather to create the bot and obtain an API token, then message @userinfobot to get the numeric chat ID. The Grafana Telegram contact point accepts both values and supports a Markdown message template that can be customised per alert.</w:t>
      </w:r>
    </w:p>
    <w:p>
      <w:pPr>
        <w:spacing w:after="80" w:before="80"/>
      </w:pPr>
      <w:r>
        <w:rPr>
          <w:rFonts w:ascii="Calibri" w:cs="Calibri" w:eastAsia="Calibri" w:hAnsi="Calibri"/>
          <w:b w:val="false"/>
          <w:bCs w:val="false"/>
          <w:color w:val="1C1C2E"/>
          <w:sz w:val="22"/>
          <w:szCs w:val="22"/>
        </w:rPr>
        <w:t xml:space="preserve">The same approach works for group chats: create a Telegram group, add the bot as a member, and use the negative group chat ID instead of a personal ID. This is how a workshop class or a real response team would receive alerts collectively.</w:t>
      </w:r>
    </w:p>
    <w:p>
      <w:pPr>
        <w:spacing w:after="100" w:before="0"/>
      </w:pPr>
    </w:p>
    <w:p>
      <w:pPr>
        <w:pStyle w:val="Heading3"/>
      </w:pPr>
      <w:r>
        <w:t xml:space="preserve">5.3.2  Browser Push via ntfy.sh</w:t>
      </w:r>
    </w:p>
    <w:p>
      <w:pPr>
        <w:spacing w:after="80" w:before="80"/>
      </w:pPr>
      <w:r>
        <w:rPr>
          <w:rFonts w:ascii="Calibri" w:cs="Calibri" w:eastAsia="Calibri" w:hAnsi="Calibri"/>
          <w:b w:val="false"/>
          <w:bCs w:val="false"/>
          <w:color w:val="1C1C2E"/>
          <w:sz w:val="22"/>
          <w:szCs w:val="22"/>
        </w:rPr>
        <w:t xml:space="preserve">Telegram requires installing an app; some users prefer a notification in any browser tab. ntfy.sh provides exactly this — a free, no-account push notification service. Users open https://ntfy.sh/your-topic-name in any browser tab; notifications posted to that topic appear instantly as desktop or mobile push.</w:t>
      </w:r>
    </w:p>
    <w:p>
      <w:pPr>
        <w:spacing w:after="80" w:before="80"/>
      </w:pPr>
      <w:r>
        <w:rPr>
          <w:rFonts w:ascii="Calibri" w:cs="Calibri" w:eastAsia="Calibri" w:hAnsi="Calibri"/>
          <w:b w:val="false"/>
          <w:bCs w:val="false"/>
          <w:color w:val="1C1C2E"/>
          <w:sz w:val="22"/>
          <w:szCs w:val="22"/>
        </w:rPr>
        <w:t xml:space="preserve">The trade-off is that topic names are public — anyone who knows the topic can send or receive. For the workshop this is fine; for a real deployment, ntfy.sh self-hosting (or a paid commercial alternative) is recommended.</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FFF8E6"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Important  </w:t>
            </w:r>
            <w:r>
              <w:rPr>
                <w:rFonts w:ascii="Calibri" w:cs="Calibri" w:eastAsia="Calibri" w:hAnsi="Calibri"/>
                <w:color w:val="1C1C2E"/>
                <w:sz w:val="22"/>
                <w:szCs w:val="22"/>
              </w:rPr>
              <w:t xml:space="preserve">Both Telegram and ntfy.sh are appropriate for workshop and research use. They are NOT appropriate as the sole channel for a real Early Warning System. Real EWS deployments combine multiple official channels (SMS via cell broadcast, public address sirens, broadcast media) with redundancy at every layer.</w:t>
            </w:r>
          </w:p>
        </w:tc>
      </w:tr>
    </w:tbl>
    <w:p>
      <w:pPr>
        <w:spacing w:after="100" w:before="0"/>
      </w:pPr>
    </w:p>
    <w:p>
      <w:pPr>
        <w:pStyle w:val="Heading2"/>
      </w:pPr>
      <w:r>
        <w:t xml:space="preserve">5.4  Runbooks: Closing the Human Loop</w:t>
      </w:r>
    </w:p>
    <w:p>
      <w:pPr>
        <w:spacing w:after="80" w:before="80"/>
      </w:pPr>
      <w:r>
        <w:rPr>
          <w:rFonts w:ascii="Calibri" w:cs="Calibri" w:eastAsia="Calibri" w:hAnsi="Calibri"/>
          <w:b w:val="false"/>
          <w:bCs w:val="false"/>
          <w:color w:val="1C1C2E"/>
          <w:sz w:val="22"/>
          <w:szCs w:val="22"/>
        </w:rPr>
        <w:t xml:space="preserve">An alert without a runbook is just noise. Every alert rule in the workshop has a corresponding entry in the alerts/RUNBOOK.md file describing four things: what does this alert mean in plain language, what should the responder do immediately, what are the common false-alarm causes, and when should it be escalated. This is the difference between an alert that drives action and one that responders learn to ignore.</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8F5E9"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Tip  </w:t>
            </w:r>
            <w:r>
              <w:rPr>
                <w:rFonts w:ascii="Calibri" w:cs="Calibri" w:eastAsia="Calibri" w:hAnsi="Calibri"/>
                <w:color w:val="1C1C2E"/>
                <w:sz w:val="22"/>
                <w:szCs w:val="22"/>
              </w:rPr>
              <w:t xml:space="preserve">A useful rule of thumb: if you cannot write a runbook entry for an alert, you should probably not create that alert. The runbook discipline forces clarity about why each rule exists.</w:t>
            </w:r>
          </w:p>
        </w:tc>
      </w:tr>
    </w:tbl>
    <w:p>
      <w:pPr>
        <w:spacing w:after="100" w:before="0"/>
      </w:pPr>
    </w:p>
    <w:p>
      <w:pPr>
        <w:pStyle w:val="Heading1"/>
      </w:pPr>
      <w:r>
        <w:t xml:space="preserve">6.  Integration with the Module 5 EWS</w:t>
      </w:r>
    </w:p>
    <w:tbl>
      <w:tblPr>
        <w:tblW w:type="dxa" w:w="9746"/>
        <w:tblBorders>
          <w:top w:val="single" w:color="AAAACC" w:sz="4"/>
          <w:left w:val="single" w:color="3B3B8C" w:sz="20"/>
          <w:bottom w:val="single" w:color="AAAACC" w:sz="4"/>
          <w:right w:val="single" w:color="AAAACC"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60"/>
              <w:bottom w:type="dxa" w:w="100"/>
              <w:right w:type="dxa" w:w="140"/>
            </w:tcMar>
          </w:tcPr>
          <w:p>
            <w:pPr>
              <w:spacing w:after="40" w:before="40"/>
            </w:pPr>
            <w:r>
              <w:rPr>
                <w:rFonts w:ascii="Calibri" w:cs="Calibri" w:eastAsia="Calibri" w:hAnsi="Calibri"/>
                <w:color w:val="595959"/>
                <w:sz w:val="22"/>
                <w:szCs w:val="22"/>
              </w:rPr>
              <w:t xml:space="preserve">Module 7 builds the SENSORS and DISSEMINATION layers of the EWS pipeline. This section closes the loop with Module 5 and explains how the workshop infrastructure mirrors real-world deployments like ShakeAlert, JMA, and SASMEX.</w:t>
            </w:r>
          </w:p>
        </w:tc>
      </w:tr>
    </w:tbl>
    <w:p>
      <w:pPr>
        <w:spacing w:after="100" w:before="0"/>
      </w:pPr>
    </w:p>
    <w:p>
      <w:pPr>
        <w:spacing w:after="80" w:before="80"/>
      </w:pPr>
      <w:r>
        <w:rPr>
          <w:rFonts w:ascii="Calibri" w:cs="Calibri" w:eastAsia="Calibri" w:hAnsi="Calibri"/>
          <w:b w:val="false"/>
          <w:bCs w:val="false"/>
          <w:color w:val="1C1C2E"/>
          <w:sz w:val="22"/>
          <w:szCs w:val="22"/>
        </w:rPr>
        <w:t xml:space="preserve">Recall the five-layer EWS pipeline from Module 5: Sensors → Processing → Decision → Dissemination → Response. Module 7 IoT nodes occupy the SENSORS layer and feed the PROCESSING / DECISION layers via MQTT. Module 7 alert rules and dissemination channels occupy the DISSEMINATION layer. The RESPONSE layer — what people actually do when they receive the alert — remains the responsibility of local emergency management.</w:t>
      </w:r>
    </w:p>
    <w:p>
      <w:pPr>
        <w:spacing w:after="80" w:before="80"/>
      </w:pPr>
      <w:r>
        <w:rPr>
          <w:rFonts w:ascii="Calibri" w:cs="Calibri" w:eastAsia="Calibri" w:hAnsi="Calibri"/>
          <w:b w:val="false"/>
          <w:bCs w:val="false"/>
          <w:color w:val="1C1C2E"/>
          <w:sz w:val="22"/>
          <w:szCs w:val="22"/>
        </w:rPr>
        <w:t xml:space="preserve">The integration point between modules is the MQTT broker. The Module 7 IoT node publishes raw sensor readings; the Module 5 EWS processor (or in this case, the Grafana alert evaluator using thresholds derived from Module 5 ROC analysis) subscribes to those topics, applies threshold optimisation, and triggers alerts when conditions cross the optimised threshold.</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Key Point  </w:t>
            </w:r>
            <w:r>
              <w:rPr>
                <w:rFonts w:ascii="Calibri" w:cs="Calibri" w:eastAsia="Calibri" w:hAnsi="Calibri"/>
                <w:color w:val="1C1C2E"/>
                <w:sz w:val="22"/>
                <w:szCs w:val="22"/>
              </w:rPr>
              <w:t xml:space="preserve">The architectural pattern in this workshop — decoupled sensors, broker, persistence, evaluation, and dissemination — is the same pattern used by ShakeAlert (USGS), JMA (Japan), and SASMEX (Mexico). The components scale up; the architecture does not change.</w:t>
            </w:r>
          </w:p>
        </w:tc>
      </w:tr>
    </w:tbl>
    <w:p>
      <w:pPr>
        <w:spacing w:after="200" w:before="0"/>
      </w:pPr>
    </w:p>
    <w:p>
      <w:pPr>
        <w:pStyle w:val="Heading1"/>
      </w:pPr>
      <w:r>
        <w:t xml:space="preserve">7.  Discussion Questions</w:t>
      </w:r>
    </w:p>
    <w:tbl>
      <w:tblPr>
        <w:tblW w:type="dxa" w:w="9746"/>
        <w:tblBorders>
          <w:top w:val="single" w:color="AAAACC" w:sz="4"/>
          <w:left w:val="single" w:color="3B3B8C" w:sz="20"/>
          <w:bottom w:val="single" w:color="AAAACC" w:sz="4"/>
          <w:right w:val="single" w:color="AAAACC"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60"/>
              <w:bottom w:type="dxa" w:w="100"/>
              <w:right w:type="dxa" w:w="140"/>
            </w:tcMar>
          </w:tcPr>
          <w:p>
            <w:pPr>
              <w:spacing w:after="40" w:before="40"/>
            </w:pPr>
            <w:r>
              <w:rPr>
                <w:rFonts w:ascii="Calibri" w:cs="Calibri" w:eastAsia="Calibri" w:hAnsi="Calibri"/>
                <w:color w:val="595959"/>
                <w:sz w:val="22"/>
                <w:szCs w:val="22"/>
              </w:rPr>
              <w:t xml:space="preserve">Use these questions for in-class discussion, Moodle forum posts, or individual reflection. They progress from technical recall through ethical reasoning to architectural design.</w:t>
            </w:r>
          </w:p>
        </w:tc>
      </w:tr>
    </w:tbl>
    <w:p>
      <w:pPr>
        <w:spacing w:after="100" w:before="0"/>
      </w:pPr>
    </w:p>
    <w:p>
      <w:pPr>
        <w:pStyle w:val="ListParagraph"/>
        <w:numPr>
          <w:ilvl w:val="0"/>
          <w:numId w:val="3"/>
        </w:numPr>
        <w:spacing w:after="40" w:before="40"/>
      </w:pPr>
      <w:r>
        <w:rPr>
          <w:rFonts w:ascii="Calibri" w:cs="Calibri" w:eastAsia="Calibri" w:hAnsi="Calibri"/>
          <w:color w:val="1C1C2E"/>
          <w:sz w:val="22"/>
          <w:szCs w:val="22"/>
        </w:rPr>
        <w:t xml:space="preserve">You ask an LLM to write code that reads an MPU6050 on an ESP32. The code uses I²C address 0x69 instead of the default 0x68. Is this an error? Under what circumstances might the LLM be correct?</w:t>
      </w:r>
    </w:p>
    <w:p>
      <w:pPr>
        <w:pStyle w:val="ListParagraph"/>
        <w:numPr>
          <w:ilvl w:val="0"/>
          <w:numId w:val="3"/>
        </w:numPr>
        <w:spacing w:after="40" w:before="40"/>
      </w:pPr>
      <w:r>
        <w:rPr>
          <w:rFonts w:ascii="Calibri" w:cs="Calibri" w:eastAsia="Calibri" w:hAnsi="Calibri"/>
          <w:color w:val="1C1C2E"/>
          <w:sz w:val="22"/>
          <w:szCs w:val="22"/>
        </w:rPr>
        <w:t xml:space="preserve">A student's vibe-coded soil moisture sensor publishes values that vary from -120% to +180%. The MQTT messages are accepted by the dashboard. Identify the failure mode and propose three independent checks that would catch it before alert deployment.</w:t>
      </w:r>
    </w:p>
    <w:p>
      <w:pPr>
        <w:pStyle w:val="ListParagraph"/>
        <w:numPr>
          <w:ilvl w:val="0"/>
          <w:numId w:val="3"/>
        </w:numPr>
        <w:spacing w:after="40" w:before="40"/>
      </w:pPr>
      <w:r>
        <w:rPr>
          <w:rFonts w:ascii="Calibri" w:cs="Calibri" w:eastAsia="Calibri" w:hAnsi="Calibri"/>
          <w:color w:val="1C1C2E"/>
          <w:sz w:val="22"/>
          <w:szCs w:val="22"/>
        </w:rPr>
        <w:t xml:space="preserve">The Grafana Landslide RED rule uses `For: 2 minutes`. What would happen if this were set to 0 (alert fires immediately)? What about 30 minutes? Explain the trade-off between false-alarm rate and effective lead time.</w:t>
      </w:r>
    </w:p>
    <w:p>
      <w:pPr>
        <w:pStyle w:val="ListParagraph"/>
        <w:numPr>
          <w:ilvl w:val="0"/>
          <w:numId w:val="3"/>
        </w:numPr>
        <w:spacing w:after="40" w:before="40"/>
      </w:pPr>
      <w:r>
        <w:rPr>
          <w:rFonts w:ascii="Calibri" w:cs="Calibri" w:eastAsia="Calibri" w:hAnsi="Calibri"/>
          <w:color w:val="1C1C2E"/>
          <w:sz w:val="22"/>
          <w:szCs w:val="22"/>
        </w:rPr>
        <w:t xml:space="preserve">Compare the Telegram and ntfy.sh dissemination channels. Name two specific scenarios where each is preferable. Then name two specific scenarios where neither is appropriate and explain what should be used instead.</w:t>
      </w:r>
    </w:p>
    <w:p>
      <w:pPr>
        <w:pStyle w:val="ListParagraph"/>
        <w:numPr>
          <w:ilvl w:val="0"/>
          <w:numId w:val="3"/>
        </w:numPr>
        <w:spacing w:after="40" w:before="40"/>
      </w:pPr>
      <w:r>
        <w:rPr>
          <w:rFonts w:ascii="Calibri" w:cs="Calibri" w:eastAsia="Calibri" w:hAnsi="Calibri"/>
          <w:color w:val="1C1C2E"/>
          <w:sz w:val="22"/>
          <w:szCs w:val="22"/>
        </w:rPr>
        <w:t xml:space="preserve">A research paper reports a landslide early warning system built "with extensive use of AI-assisted code generation". What should the methodology section disclose? What might a reviewer reasonably require to be verified by human inspection?</w:t>
      </w:r>
    </w:p>
    <w:p>
      <w:pPr>
        <w:pStyle w:val="ListParagraph"/>
        <w:numPr>
          <w:ilvl w:val="0"/>
          <w:numId w:val="3"/>
        </w:numPr>
        <w:spacing w:after="40" w:before="40"/>
      </w:pPr>
      <w:r>
        <w:rPr>
          <w:rFonts w:ascii="Calibri" w:cs="Calibri" w:eastAsia="Calibri" w:hAnsi="Calibri"/>
          <w:color w:val="1C1C2E"/>
          <w:sz w:val="22"/>
          <w:szCs w:val="22"/>
        </w:rPr>
        <w:t xml:space="preserve">The workshop architecture (MQTT → InfluxDB → Grafana → Telegram) uses four distinct cloud services. Name two failure modes that this architecture is resilient to, and two that it is vulnerable to.</w:t>
      </w:r>
    </w:p>
    <w:p>
      <w:pPr>
        <w:spacing w:after="200" w:before="0"/>
      </w:pPr>
    </w:p>
    <w:p>
      <w:pPr>
        <w:pStyle w:val="Heading1"/>
      </w:pPr>
      <w:r>
        <w:t xml:space="preserve">8.  Hands-on Exercises</w:t>
      </w:r>
    </w:p>
    <w:tbl>
      <w:tblPr>
        <w:tblW w:type="dxa" w:w="9746"/>
        <w:tblBorders>
          <w:top w:val="single" w:color="AAAACC" w:sz="4"/>
          <w:left w:val="single" w:color="3B3B8C" w:sz="20"/>
          <w:bottom w:val="single" w:color="AAAACC" w:sz="4"/>
          <w:right w:val="single" w:color="AAAACC"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EF0F8" w:val="clear"/>
            <w:tcMar>
              <w:top w:type="dxa" w:w="100"/>
              <w:left w:type="dxa" w:w="160"/>
              <w:bottom w:type="dxa" w:w="100"/>
              <w:right w:type="dxa" w:w="140"/>
            </w:tcMar>
          </w:tcPr>
          <w:p>
            <w:pPr>
              <w:spacing w:after="40" w:before="40"/>
            </w:pPr>
            <w:r>
              <w:rPr>
                <w:rFonts w:ascii="Calibri" w:cs="Calibri" w:eastAsia="Calibri" w:hAnsi="Calibri"/>
                <w:color w:val="595959"/>
                <w:sz w:val="22"/>
                <w:szCs w:val="22"/>
              </w:rPr>
              <w:t xml:space="preserve">The workshop has two assessed exercises. Both are submitted to Moodle as completed Colab notebooks. Submission requires the development log AND the working code AND the written reflection.</w:t>
            </w:r>
          </w:p>
        </w:tc>
      </w:tr>
    </w:tbl>
    <w:p>
      <w:pPr>
        <w:spacing w:after="100" w:before="0"/>
      </w:pPr>
    </w:p>
    <w:p>
      <w:pPr>
        <w:pStyle w:val="Heading2"/>
      </w:pPr>
      <w:r>
        <w:t xml:space="preserve">8.1  Assignment 1 — Vibe Coding Lab (Notebook 2)</w:t>
      </w:r>
    </w:p>
    <w:p>
      <w:pPr>
        <w:pStyle w:val="ListParagraph"/>
        <w:numPr>
          <w:ilvl w:val="0"/>
          <w:numId w:val="3"/>
        </w:numPr>
        <w:spacing w:after="40" w:before="40"/>
      </w:pPr>
      <w:r>
        <w:rPr>
          <w:rFonts w:ascii="Calibri" w:cs="Calibri" w:eastAsia="Calibri" w:hAnsi="Calibri"/>
          <w:color w:val="1C1C2E"/>
          <w:sz w:val="22"/>
          <w:szCs w:val="22"/>
        </w:rPr>
        <w:t xml:space="preserve">Open Notebook 2 in Google Colab and read the four reference solutions provided.</w:t>
      </w:r>
    </w:p>
    <w:p>
      <w:pPr>
        <w:pStyle w:val="ListParagraph"/>
        <w:numPr>
          <w:ilvl w:val="0"/>
          <w:numId w:val="3"/>
        </w:numPr>
        <w:spacing w:after="40" w:before="40"/>
      </w:pPr>
      <w:r>
        <w:rPr>
          <w:rFonts w:ascii="Calibri" w:cs="Calibri" w:eastAsia="Calibri" w:hAnsi="Calibri"/>
          <w:color w:val="1C1C2E"/>
          <w:sz w:val="22"/>
          <w:szCs w:val="22"/>
        </w:rPr>
        <w:t xml:space="preserve">For each of the four solutions, identify whether it is correct, classify any bug according to the five failure modes, and describe the real-world consequence if the bug went into production.</w:t>
      </w:r>
    </w:p>
    <w:p>
      <w:pPr>
        <w:pStyle w:val="ListParagraph"/>
        <w:numPr>
          <w:ilvl w:val="0"/>
          <w:numId w:val="3"/>
        </w:numPr>
        <w:spacing w:after="40" w:before="40"/>
      </w:pPr>
      <w:r>
        <w:rPr>
          <w:rFonts w:ascii="Calibri" w:cs="Calibri" w:eastAsia="Calibri" w:hAnsi="Calibri"/>
          <w:color w:val="1C1C2E"/>
          <w:sz w:val="22"/>
          <w:szCs w:val="22"/>
        </w:rPr>
        <w:t xml:space="preserve">Using your LLM of choice, write your own prompt for an MPU6050 tilt reader on ESP32 that publishes via MQTT.</w:t>
      </w:r>
    </w:p>
    <w:p>
      <w:pPr>
        <w:pStyle w:val="ListParagraph"/>
        <w:numPr>
          <w:ilvl w:val="0"/>
          <w:numId w:val="3"/>
        </w:numPr>
        <w:spacing w:after="40" w:before="40"/>
      </w:pPr>
      <w:r>
        <w:rPr>
          <w:rFonts w:ascii="Calibri" w:cs="Calibri" w:eastAsia="Calibri" w:hAnsi="Calibri"/>
          <w:color w:val="1C1C2E"/>
          <w:sz w:val="22"/>
          <w:szCs w:val="22"/>
        </w:rPr>
        <w:t xml:space="preserve">Conduct a line-by-line review of the generated code, answering the five review questions in the notebook (pins, I²C address, formula, credentials, error handling).</w:t>
      </w:r>
    </w:p>
    <w:p>
      <w:pPr>
        <w:pStyle w:val="ListParagraph"/>
        <w:numPr>
          <w:ilvl w:val="0"/>
          <w:numId w:val="3"/>
        </w:numPr>
        <w:spacing w:after="40" w:before="40"/>
      </w:pPr>
      <w:r>
        <w:rPr>
          <w:rFonts w:ascii="Calibri" w:cs="Calibri" w:eastAsia="Calibri" w:hAnsi="Calibri"/>
          <w:color w:val="1C1C2E"/>
          <w:sz w:val="22"/>
          <w:szCs w:val="22"/>
        </w:rPr>
        <w:t xml:space="preserve">Write a 250-word reflection on which parts of IoT code you trust to AI and which you always verify.</w:t>
      </w:r>
    </w:p>
    <w:p>
      <w:pPr>
        <w:spacing w:after="100" w:before="0"/>
      </w:pPr>
    </w:p>
    <w:p>
      <w:pPr>
        <w:pStyle w:val="Heading2"/>
      </w:pPr>
      <w:r>
        <w:t xml:space="preserve">8.2  Assignment 2 — Alert Rules and Dissemination (Notebook 4)</w:t>
      </w:r>
    </w:p>
    <w:p>
      <w:pPr>
        <w:pStyle w:val="ListParagraph"/>
        <w:numPr>
          <w:ilvl w:val="0"/>
          <w:numId w:val="3"/>
        </w:numPr>
        <w:spacing w:after="40" w:before="40"/>
      </w:pPr>
      <w:r>
        <w:rPr>
          <w:rFonts w:ascii="Calibri" w:cs="Calibri" w:eastAsia="Calibri" w:hAnsi="Calibri"/>
          <w:color w:val="1C1C2E"/>
          <w:sz w:val="22"/>
          <w:szCs w:val="22"/>
        </w:rPr>
        <w:t xml:space="preserve">Open Notebook 4 in Google Colab and work through Parts 1–7 (state machine, Telegram setup, ntfy.sh setup, dispatcher, and synthetic scenario).</w:t>
      </w:r>
    </w:p>
    <w:p>
      <w:pPr>
        <w:pStyle w:val="ListParagraph"/>
        <w:numPr>
          <w:ilvl w:val="0"/>
          <w:numId w:val="3"/>
        </w:numPr>
        <w:spacing w:after="40" w:before="40"/>
      </w:pPr>
      <w:r>
        <w:rPr>
          <w:rFonts w:ascii="Calibri" w:cs="Calibri" w:eastAsia="Calibri" w:hAnsi="Calibri"/>
          <w:color w:val="1C1C2E"/>
          <w:sz w:val="22"/>
          <w:szCs w:val="22"/>
        </w:rPr>
        <w:t xml:space="preserve">Verify that real notifications arrive in Telegram and in your browser when the synthetic scenario triggers alerts.</w:t>
      </w:r>
    </w:p>
    <w:p>
      <w:pPr>
        <w:pStyle w:val="ListParagraph"/>
        <w:numPr>
          <w:ilvl w:val="0"/>
          <w:numId w:val="3"/>
        </w:numPr>
        <w:spacing w:after="40" w:before="40"/>
      </w:pPr>
      <w:r>
        <w:rPr>
          <w:rFonts w:ascii="Calibri" w:cs="Calibri" w:eastAsia="Calibri" w:hAnsi="Calibri"/>
          <w:color w:val="1C1C2E"/>
          <w:sz w:val="22"/>
          <w:szCs w:val="22"/>
        </w:rPr>
        <w:t xml:space="preserve">Choose one of the three extensions: (A) Compound multi-site alert, (B) Alert silencing for maintenance, or (C) Adaptive thresholds based on rolling baseline.</w:t>
      </w:r>
    </w:p>
    <w:p>
      <w:pPr>
        <w:pStyle w:val="ListParagraph"/>
        <w:numPr>
          <w:ilvl w:val="0"/>
          <w:numId w:val="3"/>
        </w:numPr>
        <w:spacing w:after="40" w:before="40"/>
      </w:pPr>
      <w:r>
        <w:rPr>
          <w:rFonts w:ascii="Calibri" w:cs="Calibri" w:eastAsia="Calibri" w:hAnsi="Calibri"/>
          <w:color w:val="1C1C2E"/>
          <w:sz w:val="22"/>
          <w:szCs w:val="22"/>
        </w:rPr>
        <w:t xml:space="preserve">Implement your chosen extension, test it on the synthetic scenario, and demonstrate that it fires when expected and not otherwise.</w:t>
      </w:r>
    </w:p>
    <w:p>
      <w:pPr>
        <w:pStyle w:val="ListParagraph"/>
        <w:numPr>
          <w:ilvl w:val="0"/>
          <w:numId w:val="3"/>
        </w:numPr>
        <w:spacing w:after="40" w:before="40"/>
      </w:pPr>
      <w:r>
        <w:rPr>
          <w:rFonts w:ascii="Calibri" w:cs="Calibri" w:eastAsia="Calibri" w:hAnsi="Calibri"/>
          <w:color w:val="1C1C2E"/>
          <w:sz w:val="22"/>
          <w:szCs w:val="22"/>
        </w:rPr>
        <w:t xml:space="preserve">Write a 150-word reflection comparing your Python implementation with how the same logic would be implemented in Grafana, and which you would prefer for your own research.</w:t>
      </w:r>
    </w:p>
    <w:p>
      <w:pPr>
        <w:spacing w:after="1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E8F5E9" w:val="clear"/>
            <w:tcMar>
              <w:top w:type="dxa" w:w="100"/>
              <w:left w:type="dxa" w:w="140"/>
              <w:bottom w:type="dxa" w:w="100"/>
              <w:right w:type="dxa" w:w="140"/>
            </w:tcMar>
          </w:tcPr>
          <w:p>
            <w:pPr>
              <w:spacing w:after="40" w:before="40"/>
            </w:pPr>
            <w:r>
              <w:rPr>
                <w:rFonts w:ascii="Calibri" w:cs="Calibri" w:eastAsia="Calibri" w:hAnsi="Calibri"/>
                <w:b/>
                <w:bCs/>
                <w:color w:val="3B3B8C"/>
                <w:sz w:val="22"/>
                <w:szCs w:val="22"/>
              </w:rPr>
              <w:t xml:space="preserve">💡  Tip  </w:t>
            </w:r>
            <w:r>
              <w:rPr>
                <w:rFonts w:ascii="Calibri" w:cs="Calibri" w:eastAsia="Calibri" w:hAnsi="Calibri"/>
                <w:color w:val="1C1C2E"/>
                <w:sz w:val="22"/>
                <w:szCs w:val="22"/>
              </w:rPr>
              <w:t xml:space="preserve">The most common reason students lose marks on Assignment 2 is failing to capture screenshots of the actual Telegram and ntfy notifications. Take the screenshots while running the synthetic scenario — they are evidence that the dispatcher worked end-to-end.</w:t>
            </w:r>
          </w:p>
        </w:tc>
      </w:tr>
    </w:tbl>
    <w:p>
      <w:pPr>
        <w:spacing w:after="100" w:before="0"/>
      </w:pPr>
    </w:p>
    <w:p>
      <w:pPr>
        <w:pStyle w:val="Heading3"/>
      </w:pPr>
      <w:r>
        <w:t xml:space="preserve">Expected Output</w:t>
      </w:r>
    </w:p>
    <w:p>
      <w:pPr>
        <w:spacing w:after="80" w:before="80"/>
      </w:pPr>
      <w:r>
        <w:rPr>
          <w:rFonts w:ascii="Calibri" w:cs="Calibri" w:eastAsia="Calibri" w:hAnsi="Calibri"/>
          <w:b w:val="false"/>
          <w:bCs w:val="false"/>
          <w:color w:val="1C1C2E"/>
          <w:sz w:val="22"/>
          <w:szCs w:val="22"/>
        </w:rPr>
        <w:t xml:space="preserve">A correctly completed workshop submission produces, for both assignments: a Colab notebook with all cells run and outputs preserved; clear comments distinguishing AI-assisted code from manually written code; a development log of at least 5 prompt-response-iteration cycles; screenshots of the live Grafana dashboard and the dissemination notifications; and the written reflections specified in each assignment.</w:t>
      </w:r>
    </w:p>
    <w:p>
      <w:pPr>
        <w:spacing w:after="2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3000"/>
        <w:gridCol w:w="6746"/>
      </w:tblGrid>
      <w:tr>
        <w:tc>
          <w:tcPr>
            <w:tcW w:type="dxa" w:w="9746"/>
            <w:gridSpan w:val="2"/>
            <w:tcBorders>
              <w:top w:val="nil" w:color="FFFFFF" w:sz="0"/>
              <w:left w:val="nil" w:color="FFFFFF" w:sz="0"/>
              <w:bottom w:val="nil" w:color="FFFFFF" w:sz="0"/>
              <w:right w:val="nil" w:color="FFFFFF" w:sz="0"/>
            </w:tcBorders>
            <w:shd w:fill="E8703A" w:val="clear"/>
            <w:tcMar>
              <w:top w:type="dxa" w:w="80"/>
              <w:left w:type="dxa" w:w="140"/>
              <w:bottom w:type="dxa" w:w="80"/>
              <w:right w:type="dxa" w:w="140"/>
            </w:tcMar>
          </w:tcPr>
          <w:p>
            <w:r>
              <w:rPr>
                <w:rFonts w:ascii="Calibri" w:cs="Calibri" w:eastAsia="Calibri" w:hAnsi="Calibri"/>
                <w:b/>
                <w:bCs/>
                <w:color w:val="FFFFFF"/>
                <w:sz w:val="24"/>
                <w:szCs w:val="24"/>
              </w:rPr>
              <w:t xml:space="preserve">Key Terms and Definitions</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AI-assisted coding</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The practice of using a large language model (LLM) to generate code from natural-language descriptions. Informally also called "vibe coding". Independent of which specific LLM is used.</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Edge computing</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Computation performed on the IoT device itself (microcontroller) rather than in the cloud. Reduces latency and bandwidth requirements; essential for time-critical alert logic.</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Fog computing</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layer between edge and cloud, typically a local gateway (Raspberry Pi or industrial gateway) that aggregates data from multiple edge nodes before forwarding to the cloud.</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MPU6050</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6-axis inertial measurement unit combining a 3-axis accelerometer and 3-axis gyroscope. Used in the workshop for tilt and vibration detection. Interface: I²C address 0x68.</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BMP280</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barometric pressure and temperature sensor by Bosch. Used in the workshop for storm tracking and altitude estimation. Interface: I²C address 0x76 or 0x77.</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Capacitive soil moisture sensor</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corrosion-resistant probe that measures volumetric water content by detecting capacitance changes in the soil dielectric. Output: analogue voltage proportional to moisture.</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MQTT</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Message Queuing Telemetry Transport — a lightweight publish/subscribe protocol designed for IoT. The de facto standard for sensor-to-cloud communication.</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Prompt engineering</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The skill of crafting natural-language instructions to LLMs that reliably produce the desired code. For IoT, requires specifying board, sensor, interface, timing, calibration, and output destination.</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InfluxDB</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time-series database optimised for IoT and monitoring workloads. Used in the workshop as the persistence layer between MQTT and Grafana. Free tier sufficient for the workshop.</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Flux</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The query language used by InfluxDB 2.x and Grafana to extract and transform time-series data. Pipeline syntax inspired by functional programming.</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Grafana</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An open-source visualisation and alerting platform. Used in the workshop for the live dashboard and as the production alert evaluator.</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Alert state machine</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formal model with states OK → PENDING → FIRING → RESOLVED that prevents single-sample false alarms and ensures alerts fire only when a condition persists for a configured minimum duration.</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Dispatcher</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The component (in Python or Grafana) that routes alerts to one or more dissemination channels (Telegram, browser push, email, etc.) based on alert severity and labels.</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ntfy.sh</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free, no-account push notification service that delivers messages to any browser tab or smartphone app subscribed to a topic. Used in the workshop as the browser-push channel.</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Runbook</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document accompanying each alert rule that describes (1) what the alert means, (2) immediate response actions, (3) common false-alarm causes, and (4) escalation criteria.</w:t>
            </w:r>
          </w:p>
        </w:tc>
      </w:tr>
      <w:tr>
        <w:tc>
          <w:tcPr>
            <w:tcW w:type="dxa" w:w="30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Wokwi</w:t>
            </w:r>
          </w:p>
        </w:tc>
        <w:tc>
          <w:tcPr>
            <w:tcW w:type="dxa" w:w="67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A free, browser-based ESP32 / Arduino / Raspberry Pi Pico simulator. Allows complete IoT code testing without physical hardware; used as the Track C option in this workshop.</w:t>
            </w:r>
          </w:p>
        </w:tc>
      </w:tr>
    </w:tbl>
    <w:p>
      <w:pPr>
        <w:spacing w:after="200" w:before="0"/>
      </w:pPr>
    </w:p>
    <w:tbl>
      <w:tblPr>
        <w:tblW w:type="dxa" w:w="9746"/>
        <w:tblBorders>
          <w:top w:val="single" w:color="AAAACC" w:sz="6"/>
          <w:left w:val="single" w:color="AAAACC" w:sz="6"/>
          <w:bottom w:val="single" w:color="AAAACC" w:sz="6"/>
          <w:right w:val="single" w:color="AAAACC" w:sz="6"/>
          <w:insideH w:val="single" w:color="auto" w:sz="4"/>
          <w:insideV w:val="single" w:color="auto" w:sz="4"/>
        </w:tblBorders>
      </w:tblPr>
      <w:tblGrid>
        <w:gridCol w:w="1400"/>
        <w:gridCol w:w="8346"/>
      </w:tblGrid>
      <w:tr>
        <w:tc>
          <w:tcPr>
            <w:tcW w:type="dxa" w:w="9746"/>
            <w:gridSpan w:val="2"/>
            <w:tcBorders>
              <w:top w:val="nil" w:color="FFFFFF" w:sz="0"/>
              <w:left w:val="nil" w:color="FFFFFF" w:sz="0"/>
              <w:bottom w:val="nil" w:color="FFFFFF" w:sz="0"/>
              <w:right w:val="nil" w:color="FFFFFF" w:sz="0"/>
            </w:tcBorders>
            <w:shd w:fill="444460" w:val="clear"/>
            <w:tcMar>
              <w:top w:type="dxa" w:w="80"/>
              <w:left w:type="dxa" w:w="140"/>
              <w:bottom w:type="dxa" w:w="80"/>
              <w:right w:type="dxa" w:w="140"/>
            </w:tcMar>
          </w:tcPr>
          <w:p>
            <w:r>
              <w:rPr>
                <w:rFonts w:ascii="Calibri" w:cs="Calibri" w:eastAsia="Calibri" w:hAnsi="Calibri"/>
                <w:b/>
                <w:bCs/>
                <w:color w:val="FFFFFF"/>
                <w:sz w:val="24"/>
                <w:szCs w:val="24"/>
              </w:rPr>
              <w:t xml:space="preserve">References and Further Reading</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[1]</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Bosch Sensortec (2024). BMP280 Digital Pressure Sensor — Datasheet, Rev. 1.26. Bosch Sensortec GmbH. https://www.bosch-sensortec.com/products/environmental-sensors/pressure-sensors/bmp280/</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[2]</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InvenSense (2013). MPU-6000 and MPU-6050 Product Specification, Rev. 3.4. https://invensense.tdk.com/wp-content/uploads/2015/02/MPU-6000-Datasheet1.pdf</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[3]</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Karpathy, A. (2025). "Vibe coding" — origin and definition. Blog post on AI-assisted development workflow.</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[4]</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Banzhaf, W., et al. (2024). The Role of Large Language Models in Embedded Systems Development. IEEE Software, 41(3), 22–31.</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[5]</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MicroPython documentation (2024). MicroPython Library Reference, esp32 module. https://docs.micropython.org/en/latest/library/esp32.html</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[6]</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OASIS (2019). MQTT Version 5.0 Specification. https://docs.oasis-open.org/mqtt/mqtt/v5.0/mqtt-v5.0.html</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[7]</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InfluxData (2024). InfluxDB Cloud Documentation — Free Tier Limits. https://docs.influxdata.com/influxdb/cloud/</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[8]</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Grafana Labs (2024). Grafana Alerting Documentation — Alert Rules and State Machine. https://grafana.com/docs/grafana/latest/alerting/</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[9]</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Telegram (2024). Bot API Documentation. https://core.telegram.org/bots/api</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[10]</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ntfy.sh (2024). Documentation — HTTP-based pub-sub notification service. https://docs.ntfy.sh/</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[11]</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Wokwi (2024). Wokwi for VS Code — IoT simulator documentation. https://docs.wokwi.com/</w:t>
            </w:r>
          </w:p>
        </w:tc>
      </w:tr>
      <w:tr>
        <w:tc>
          <w:tcPr>
            <w:tcW w:type="dxa" w:w="1400"/>
            <w:tcBorders>
              <w:top w:val="single" w:color="CCCCDD" w:sz="4"/>
              <w:left w:val="nil" w:color="FFFFFF" w:sz="0"/>
              <w:bottom w:val="single" w:color="CCCCDD" w:sz="4"/>
              <w:right w:val="nil" w:color="FFFFFF" w:sz="0"/>
            </w:tcBorders>
            <w:shd w:fill="F5F5F8" w:val="clear"/>
            <w:tcMar>
              <w:top w:type="dxa" w:w="80"/>
              <w:left w:type="dxa" w:w="140"/>
              <w:bottom w:type="dxa" w:w="80"/>
              <w:right w:type="dxa" w:w="140"/>
            </w:tcMar>
          </w:tcPr>
          <w:p>
            <w:r>
              <w:rPr>
                <w:rFonts w:ascii="Calibri" w:cs="Calibri" w:eastAsia="Calibri" w:hAnsi="Calibri"/>
                <w:b/>
                <w:bCs/>
                <w:color w:val="3B3B8C"/>
                <w:sz w:val="21"/>
                <w:szCs w:val="21"/>
              </w:rPr>
              <w:t xml:space="preserve">[12]</w:t>
            </w:r>
          </w:p>
        </w:tc>
        <w:tc>
          <w:tcPr>
            <w:tcW w:type="dxa" w:w="8346"/>
            <w:tcBorders>
              <w:top w:val="single" w:color="CCCCDD" w:sz="4"/>
              <w:left w:val="nil" w:color="FFFFFF" w:sz="0"/>
              <w:bottom w:val="single" w:color="CCCCDD" w:sz="4"/>
              <w:right w:val="nil" w:color="FFFFFF" w:sz="0"/>
            </w:tcBorders>
            <w:shd w:fill="FFFFFF" w:val="clear"/>
            <w:tcMar>
              <w:top w:type="dxa" w:w="80"/>
              <w:left w:type="dxa" w:w="140"/>
              <w:bottom w:type="dxa" w:w="80"/>
              <w:right w:type="dxa" w:w="140"/>
            </w:tcMar>
          </w:tcPr>
          <w:p>
            <w:r>
              <w:rPr>
                <w:rFonts w:ascii="Calibri" w:cs="Calibri" w:eastAsia="Calibri" w:hAnsi="Calibri"/>
                <w:color w:val="1C1C2E"/>
                <w:sz w:val="21"/>
                <w:szCs w:val="21"/>
              </w:rPr>
              <w:t xml:space="preserve">UNDRR (2022). Words into Action: Multi-hazard Early Warning Systems. United Nations Office for Disaster Risk Reduction.</w:t>
            </w:r>
          </w:p>
        </w:tc>
      </w:tr>
    </w:tbl>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single" w:color="CCCCCC" w:sz="4"/>
        <w:left w:val="nil" w:color="FFFFFF" w:sz="0"/>
        <w:bottom w:val="nil" w:color="FFFFFF" w:sz="0"/>
        <w:right w:val="nil" w:color="FFFFFF" w:sz="0"/>
        <w:insideH w:val="single" w:color="auto" w:sz="4"/>
        <w:insideV w:val="single" w:color="auto" w:sz="4"/>
      </w:tblBorders>
    </w:tblPr>
    <w:tblGrid>
      <w:gridCol w:w="5360"/>
      <w:gridCol w:w="4385"/>
    </w:tblGrid>
    <w:tr>
      <w:tc>
        <w:tcPr>
          <w:tcW w:type="dxa" w:w="5360"/>
          <w:tcBorders>
            <w:top w:val="nil" w:color="FFFFFF" w:sz="0"/>
            <w:left w:val="nil" w:color="FFFFFF" w:sz="0"/>
            <w:bottom w:val="nil" w:color="FFFFFF" w:sz="0"/>
            <w:right w:val="nil" w:color="FFFFFF" w:sz="0"/>
          </w:tcBorders>
        </w:tcPr>
        <w:p>
          <w:pPr>
            <w:spacing w:after="0" w:before="60"/>
          </w:pPr>
          <w:r>
            <w:rPr>
              <w:rFonts w:ascii="Calibri" w:cs="Calibri" w:eastAsia="Calibri" w:hAnsi="Calibri"/>
              <w:color w:val="595959"/>
              <w:sz w:val="18"/>
              <w:szCs w:val="18"/>
            </w:rPr>
            <w:t xml:space="preserve">University of West Attica  |  DIGIHAZ Project</w:t>
          </w:r>
        </w:p>
      </w:tc>
      <w:tc>
        <w:tcPr>
          <w:tcW w:type="dxa" w:w="4385"/>
          <w:tcBorders>
            <w:top w:val="nil" w:color="FFFFFF" w:sz="0"/>
            <w:left w:val="nil" w:color="FFFFFF" w:sz="0"/>
            <w:bottom w:val="nil" w:color="FFFFFF" w:sz="0"/>
            <w:right w:val="nil" w:color="FFFFFF" w:sz="0"/>
          </w:tcBorders>
        </w:tcPr>
        <w:p>
          <w:pPr>
            <w:spacing w:after="0" w:before="60"/>
            <w:jc w:val="right"/>
          </w:pPr>
          <w:r>
            <w:rPr>
              <w:rFonts w:ascii="Calibri" w:cs="Calibri" w:eastAsia="Calibri" w:hAnsi="Calibri"/>
              <w:color w:val="595959"/>
              <w:sz w:val="18"/>
              <w:szCs w:val="18"/>
            </w:rPr>
            <w:t xml:space="preserve">Page </w:t>
          </w:r>
          <w:fldSimple w:instr="[object Object]"/>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il" w:color="FFFFFF" w:sz="0"/>
        <w:left w:val="nil" w:color="FFFFFF" w:sz="0"/>
        <w:bottom w:val="single" w:color="CCCCCC" w:sz="4"/>
        <w:right w:val="nil" w:color="FFFFFF" w:sz="0"/>
        <w:insideH w:val="single" w:color="auto" w:sz="4"/>
        <w:insideV w:val="single" w:color="auto" w:sz="4"/>
      </w:tblBorders>
    </w:tblPr>
    <w:tblGrid>
      <w:gridCol w:w="6334"/>
      <w:gridCol w:w="3411"/>
    </w:tblGrid>
    <w:tr>
      <w:tc>
        <w:tcPr>
          <w:tcW w:type="dxa" w:w="6334"/>
          <w:tcBorders>
            <w:top w:val="nil" w:color="FFFFFF" w:sz="0"/>
            <w:left w:val="nil" w:color="FFFFFF" w:sz="0"/>
            <w:bottom w:val="nil" w:color="FFFFFF" w:sz="0"/>
            <w:right w:val="nil" w:color="FFFFFF" w:sz="0"/>
          </w:tcBorders>
        </w:tcPr>
        <w:p>
          <w:pPr>
            <w:spacing w:after="0" w:before="0"/>
          </w:pPr>
          <w:r>
            <w:rPr>
              <w:rFonts w:ascii="Calibri" w:cs="Calibri" w:eastAsia="Calibri" w:hAnsi="Calibri"/>
              <w:b/>
              <w:bCs/>
              <w:color w:val="3B3B8C"/>
              <w:sz w:val="18"/>
              <w:szCs w:val="18"/>
            </w:rPr>
            <w:t xml:space="preserve">DIGIHAZ PhD Course</w:t>
          </w:r>
        </w:p>
        <w:p>
          <w:pPr>
            <w:spacing w:after="0" w:before="0"/>
          </w:pPr>
          <w:r>
            <w:rPr>
              <w:rFonts w:ascii="Calibri" w:cs="Calibri" w:eastAsia="Calibri" w:hAnsi="Calibri"/>
              <w:color w:val="595959"/>
              <w:sz w:val="18"/>
              <w:szCs w:val="18"/>
            </w:rPr>
            <w:t xml:space="preserve">Module 7 : AI-Assisted IoT Development</w:t>
          </w:r>
        </w:p>
      </w:tc>
      <w:tc>
        <w:tcPr>
          <w:tcW w:type="dxa" w:w="3411"/>
          <w:tcBorders>
            <w:top w:val="nil" w:color="FFFFFF" w:sz="0"/>
            <w:left w:val="nil" w:color="FFFFFF" w:sz="0"/>
            <w:bottom w:val="nil" w:color="FFFFFF" w:sz="0"/>
            <w:right w:val="nil" w:color="FFFFFF" w:sz="0"/>
          </w:tcBorders>
          <w:vAlign w:val="bottom"/>
        </w:tcPr>
        <w:p>
          <w:pPr>
            <w:spacing w:after="0" w:before="0"/>
            <w:jc w:val="right"/>
          </w:pPr>
          <w:r>
            <w:rPr>
              <w:rFonts w:ascii="Calibri" w:cs="Calibri" w:eastAsia="Calibri" w:hAnsi="Calibri"/>
              <w:color w:val="595959"/>
              <w:sz w:val="18"/>
              <w:szCs w:val="18"/>
            </w:rPr>
            <w:t xml:space="preserve">IoT for Natural Hazards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80" w:before="280"/>
      <w:outlineLvl w:val="0"/>
    </w:pPr>
    <w:rPr>
      <w:rFonts w:ascii="Calibri" w:cs="Calibri" w:eastAsia="Calibri" w:hAnsi="Calibri"/>
      <w:b/>
      <w:bCs/>
      <w:color w:val="2E74B5"/>
      <w:sz w:val="32"/>
      <w:szCs w:val="32"/>
    </w:rPr>
  </w:style>
  <w:style w:type="paragraph" w:styleId="Heading2">
    <w:name w:val="Heading 2"/>
    <w:basedOn w:val="Normal"/>
    <w:next w:val="Normal"/>
    <w:qFormat/>
    <w:pPr>
      <w:pBdr>
        <w:bottom w:val="single" w:color="2E74B5" w:sz="4" w:space="3"/>
      </w:pBdr>
      <w:spacing w:after="60" w:before="2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40" w:before="16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2026-06-18T08:07:46.469Z</dcterms:created>
  <dcterms:modified xsi:type="dcterms:W3CDTF">2026-06-18T08:07:46.470Z</dcterms:modified>
</cp:coreProperties>
</file>

<file path=docProps/custom.xml><?xml version="1.0" encoding="utf-8"?>
<Properties xmlns="http://schemas.openxmlformats.org/officeDocument/2006/custom-properties" xmlns:vt="http://schemas.openxmlformats.org/officeDocument/2006/docPropsVTypes"/>
</file>