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NIST AI RISK MANAGEMENT FRAMEWORK</w:t>
      </w:r>
    </w:p>
    <w:p>
      <w:pPr>
        <w:pStyle w:val="Heading2"/>
        <w:keepNext/>
        <w:keepLines/>
      </w:pPr>
      <w:r>
        <w:rPr>
          <w:color w:val="0066CC"/>
        </w:rPr>
        <w:t>Tendencias 2024-2026, Indicadores de Ciberseguridad Territorial (España) e Implicaciones de Resiliencia Digital</w:t>
      </w:r>
    </w:p>
    <w:p>
      <w:r>
        <w:rPr>
          <w:b/>
        </w:rPr>
        <w:t>Preparado por</w:t>
      </w:r>
      <w:r>
        <w:t>: Consorcio de Científicos de Datos, Estrategas de Ciberseguridad y Especialistas en Resiliencia Digital</w:t>
      </w:r>
      <w:r/>
      <w:r>
        <w:br/>
      </w:r>
      <w:r>
        <w:rPr>
          <w:b/>
        </w:rPr>
        <w:t>Clasificación</w:t>
      </w:r>
      <w:r>
        <w:t>: Investigación Institucional de Alto Nivel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Distribución</w:t>
      </w:r>
      <w:r>
        <w:t>: Ejecutivos de Riesgo, Responsables de Gobernanza IA, Autoridades Regulatorias</w:t>
      </w:r>
    </w:p>
    <w:p>
      <w:pPr>
        <w:pStyle w:val="Heading2"/>
        <w:keepNext/>
        <w:keepLines/>
      </w:pPr>
      <w:r>
        <w:rPr>
          <w:color w:val="0066CC"/>
        </w:rPr>
        <w:t>EXECUTIVE SUMMARY</w:t>
      </w:r>
    </w:p>
    <w:p>
      <w:r>
        <w:t xml:space="preserve">El </w:t>
      </w:r>
      <w:r>
        <w:rPr>
          <w:b/>
        </w:rPr>
        <w:t>NIST Artificial Intelligence Risk Management Framework (AI RMF)</w:t>
      </w:r>
      <w:r>
        <w:t xml:space="preserve"> ha evolucionado desde su lanzamiento en enero 2023 hacia un ecosistema integrado de marcos complementarios que abordan IA generativa, ciberseguridad de componentes IA, y defensa resiliente frente a ataques basados en IA. En paralelo, </w:t>
      </w:r>
      <w:r>
        <w:rPr>
          <w:b/>
        </w:rPr>
        <w:t>España</w:t>
      </w:r>
      <w:r>
        <w:t xml:space="preserve"> ha acelerado su marco regulatorio mediante la transposición del Reglamento (UE) 2024/1689 (Ley de IA), la implementación de la Directiva NIS2, y la creación de la Agencia Española de Supervisión de Inteligencia Artificial (AESIA).</w:t>
      </w:r>
    </w:p>
    <w:p>
      <w:r>
        <w:rPr>
          <w:b/>
        </w:rPr>
        <w:t>Hallazgos clave</w:t>
      </w:r>
      <w:r>
        <w:t>:</w:t>
      </w:r>
    </w:p>
    <w:p>
      <w:pPr>
        <w:pStyle w:val="ListNumber"/>
        <w:keepLines w:val="1"/>
        <w:keepNext w:val="1"/>
        <w:widowControl w:val="1"/>
      </w:pPr>
      <w:r>
        <w:br/>
        <w:t>Convergencia Normativa Global: NIST AI RMF, EU AI Act, e ISO/IEC 23894 comparten principios de trustworthiness pero con enfoques distintos—NIST (voluntario, flexible) vs. EU (obligatorio, prescriptivo).</w:t>
        <w:br/>
      </w:r>
    </w:p>
    <w:p>
      <w:pPr>
        <w:pStyle w:val="ListNumber"/>
        <w:keepLines w:val="1"/>
        <w:keepNext w:val="1"/>
        <w:widowControl w:val="1"/>
      </w:pPr>
      <w:r>
        <w:br/>
        <w:t>Capacidad Territorial Española: Posición 15º global (NCSI 89.17/100), con marco legal robusto pero retos de implementación en SMEs; inversión de €1.157M (2025-2026) en ciberseguridad.</w:t>
        <w:br/>
      </w:r>
    </w:p>
    <w:p>
      <w:pPr>
        <w:pStyle w:val="ListNumber"/>
        <w:keepLines w:val="1"/>
        <w:keepNext w:val="1"/>
        <w:widowControl w:val="1"/>
      </w:pPr>
      <w:r>
        <w:br/>
        <w:t>Métricas Emergentes: El NIST formaliza siete características de trustworthiness (valid, safe, secure, accountable, explainable, privacy-enhanced, fair) con énfasis en medición continua y no solo conformidad estática.</w:t>
        <w:br/>
      </w:r>
    </w:p>
    <w:p>
      <w:pPr>
        <w:pStyle w:val="ListNumber"/>
        <w:keepLines w:val="1"/>
        <w:keepNext w:val="1"/>
        <w:widowControl w:val="1"/>
      </w:pPr>
      <w:r>
        <w:br/>
        <w:t>Vulnerabilidades de Cadena Suministro IA: 512.847 paquetes malignos detectados (↑156% YoY); data poisoning, model extraction, y compromiso CI/CD identificados como vectores prioritarios de ataque (2024-2026).</w:t>
        <w:br/>
      </w:r>
    </w:p>
    <w:p>
      <w:pPr>
        <w:pStyle w:val="ListNumber"/>
        <w:keepLines w:val="1"/>
        <w:widowControl w:val="1"/>
      </w:pPr>
      <w:r>
        <w:br/>
        <w:t>Resiliencia Digital + AI: Integración de IA en recovery operacional reduce costos de brechas en €2.44M promedio; pero requiere gobernanza clara, human-in-the-loop (80% colaboración), y fallbacks críticos.</w:t>
        <w:br/>
      </w:r>
    </w:p>
    <w:p>
      <w:r>
        <w:rPr>
          <w:b/>
        </w:rPr>
        <w:t>Convergencia Normativa Global</w:t>
      </w:r>
      <w:r>
        <w:t>: NIST AI RMF, EU AI Act, e ISO/IEC 23894 comparten principios de trustworthiness pero con enfoques distintos—NIST (voluntario, flexible) vs. EU (obligatorio, prescriptivo).</w:t>
      </w:r>
    </w:p>
    <w:p>
      <w:r>
        <w:rPr>
          <w:b/>
        </w:rPr>
        <w:t>Capacidad Territorial Española</w:t>
      </w:r>
      <w:r>
        <w:t>: Posición 15º global (NCSI 89.17/100), con marco legal robusto pero retos de implementación en SMEs; inversión de €1.157M (2025-2026) en ciberseguridad.</w:t>
      </w:r>
    </w:p>
    <w:p>
      <w:r>
        <w:rPr>
          <w:b/>
        </w:rPr>
        <w:t>Métricas Emergentes</w:t>
      </w:r>
      <w:r>
        <w:t>: El NIST formaliza siete características de trustworthiness (valid, safe, secure, accountable, explainable, privacy-enhanced, fair) con énfasis en medición continua y no solo conformidad estática.</w:t>
      </w:r>
    </w:p>
    <w:p>
      <w:r>
        <w:rPr>
          <w:b/>
        </w:rPr>
        <w:t>Vulnerabilidades de Cadena Suministro IA</w:t>
      </w:r>
      <w:r>
        <w:t>: 512.847 paquetes malignos detectados (↑156% YoY); data poisoning, model extraction, y compromiso CI/CD identificados como vectores prioritarios de ataque (2024-2026).</w:t>
      </w:r>
    </w:p>
    <w:p>
      <w:r>
        <w:rPr>
          <w:b/>
        </w:rPr>
        <w:t>Resiliencia Digital + AI</w:t>
      </w:r>
      <w:r>
        <w:t>: Integración de IA en recovery operacional reduce costos de brechas en €2.44M promedio; pero requiere gobernanza clara, human-in-the-loop (80% colaboración), y fallbacks críticos.</w:t>
      </w:r>
    </w:p>
    <w:p>
      <w:pPr>
        <w:pStyle w:val="Heading2"/>
        <w:keepNext/>
        <w:keepLines/>
      </w:pPr>
      <w:r>
        <w:rPr>
          <w:color w:val="0066CC"/>
        </w:rPr>
        <w:t>I. EVOLUCIÓN NIST AI RMF: TIMELINE 2023-2026</w:t>
      </w:r>
    </w:p>
    <w:p>
      <w:pPr>
        <w:pStyle w:val="Heading3"/>
        <w:keepNext/>
        <w:keepLines/>
      </w:pPr>
      <w:r>
        <w:t>A. Versiones y Actualizaciones Publicadas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 para España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AI RMF 1.0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Enero 2023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Cuatro funciones core (GOVERN, MAP, MEASURE, MANAGE); siete características de trustworthiness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Referencia técnica; base para EU AI Act alignment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Febrero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Six functions (GOVERN, IDENTIFY, PROTECT, DETECT, RESPOND, RECOVER); integración AI explícita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Ciberseguridad crítica + resiliencia; guía para ENS actualizado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GenAI Profile (AI 600-1)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Abril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400+ acciones mitigación para LLMs/GenAI; riesgos amplificados (hallucinations, jailbreaking)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Regulaciones futuras de IA generativa en sector público/privado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Cyber AI Profile (Draft)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Enero 2026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Tres ejes: Secure (componentes IA), Defend (IA defensiva), Thwart (resiliencia ad ataq IA)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Integración con NIS2; guidance operativa para SOCs España</w:t>
            </w:r>
          </w:p>
        </w:tc>
      </w:tr>
    </w:tbl>
    <w:p/>
    <w:p>
      <w:pPr>
        <w:pStyle w:val="Heading3"/>
        <w:keepNext/>
        <w:keepLines/>
      </w:pPr>
      <w:r>
        <w:t>B. Drivers de Actualización</w:t>
      </w:r>
    </w:p>
    <w:p>
      <w:pPr>
        <w:pStyle w:val="ListNumber"/>
        <w:keepLines w:val="1"/>
        <w:keepNext w:val="1"/>
        <w:widowControl w:val="1"/>
      </w:pPr>
      <w:r>
        <w:t>Regulación EU AI Act: Convergencia NIST → EU normativa (art. 28-99 operativos Q2 2026)</w:t>
      </w:r>
    </w:p>
    <w:p>
      <w:pPr>
        <w:pStyle w:val="ListNumber"/>
        <w:keepLines w:val="1"/>
        <w:keepNext w:val="1"/>
        <w:widowControl w:val="1"/>
      </w:pPr>
      <w:r>
        <w:t>GenAI Mainstream: Detección de riesgos únicos no previstos en v1.0 (prompt injection, model poisoning, data leakage)</w:t>
      </w:r>
    </w:p>
    <w:p>
      <w:pPr>
        <w:pStyle w:val="ListNumber"/>
        <w:keepLines w:val="1"/>
        <w:keepNext w:val="1"/>
        <w:widowControl w:val="1"/>
      </w:pPr>
      <w:r>
        <w:t>Supply Chain Attacks: OpenAI + NSA/CISA (2024) documentan threat actors usando LLMs para malware development</w:t>
      </w:r>
    </w:p>
    <w:p>
      <w:pPr>
        <w:pStyle w:val="ListNumber"/>
        <w:keepLines w:val="1"/>
        <w:widowControl w:val="1"/>
      </w:pPr>
      <w:r>
        <w:t>Governance Imperativo: Mayores exigencias de Board-level oversight, E-Risk integration, audit readiness</w:t>
      </w:r>
    </w:p>
    <w:p>
      <w:pPr>
        <w:pStyle w:val="Heading2"/>
        <w:keepNext/>
        <w:keepLines/>
      </w:pPr>
      <w:r>
        <w:rPr>
          <w:color w:val="0066CC"/>
        </w:rPr>
        <w:t>II. INDICADORES Y MÉTRICAS: DIMENSIONES DE CIBERSEGURIDAD EN NIST AI RMF</w:t>
      </w:r>
    </w:p>
    <w:p>
      <w:pPr>
        <w:pStyle w:val="Heading3"/>
        <w:keepNext/>
        <w:keepLines/>
      </w:pPr>
      <w:r>
        <w:t>A. Las Siete Características de Trustworthiness (NIST AI RMF 1.0)</w:t>
      </w:r>
    </w:p>
    <w:p>
      <w:r>
        <w:t xml:space="preserve">El framework define trustworthiness como balance multidimensional de propiedades técnicas, operacionales y éticas. </w:t>
      </w:r>
      <w:r>
        <w:rPr>
          <w:b/>
        </w:rPr>
        <w:t>Valid &amp; Reliable</w:t>
      </w:r>
      <w:r>
        <w:t xml:space="preserve"> es condición necesaria; </w:t>
      </w:r>
      <w:r>
        <w:rPr>
          <w:b/>
        </w:rPr>
        <w:t>Accountable &amp; Transparent</w:t>
      </w:r>
      <w:r>
        <w:t xml:space="preserve"> span todas las demás.</w:t>
      </w:r>
    </w:p>
    <w:p>
      <w:pPr>
        <w:pStyle w:val="Heading4"/>
        <w:keepNext/>
        <w:keepLines/>
      </w:pPr>
      <w:r>
        <w:t>1. Valid &amp; Reliable (Validez y Confiabilidad)</w:t>
      </w:r>
    </w:p>
    <w:p>
      <w:pPr>
        <w:pStyle w:val="ListBullet"/>
        <w:keepLines w:val="1"/>
        <w:keepNext w:val="1"/>
        <w:widowControl w:val="1"/>
      </w:pPr>
      <w:r>
        <w:t>Definición: Exactitud, robustez, generalización más allá de condiciones de entrenamiento</w:t>
      </w:r>
    </w:p>
    <w:p>
      <w:pPr>
        <w:pStyle w:val="ListBullet"/>
        <w:keepLines w:val="1"/>
        <w:keepNext w:val="1"/>
        <w:widowControl w:val="1"/>
      </w:pPr>
      <w:r>
        <w:t xml:space="preserve">Métricas NIST Sugeridas: </w:t>
      </w:r>
    </w:p>
    <w:p>
      <w:pPr>
        <w:pStyle w:val="ListBullet"/>
        <w:keepLines w:val="1"/>
        <w:keepNext w:val="1"/>
        <w:widowControl w:val="1"/>
      </w:pPr>
      <w:r>
        <w:t>Precision, recall, F1-score</w:t>
      </w:r>
    </w:p>
    <w:p>
      <w:pPr>
        <w:pStyle w:val="ListBullet"/>
        <w:keepLines w:val="1"/>
        <w:keepNext w:val="1"/>
        <w:widowControl w:val="1"/>
      </w:pPr>
      <w:r>
        <w:t>External validity índices (generalización a datos no vistos)</w:t>
      </w:r>
    </w:p>
    <w:p>
      <w:pPr>
        <w:pStyle w:val="ListBullet"/>
        <w:keepLines w:val="1"/>
        <w:keepNext w:val="1"/>
        <w:widowControl w:val="1"/>
      </w:pPr>
      <w:r>
        <w:t>Disaggregation por demografías/segmentos</w:t>
      </w:r>
    </w:p>
    <w:p>
      <w:pPr>
        <w:pStyle w:val="ListBullet"/>
        <w:keepLines w:val="1"/>
        <w:widowControl w:val="1"/>
      </w:pPr>
      <w:r>
        <w:t>Riesgo de No Cumplimiento: Deployments en producción con accuracy no verificada → 23% de las querellas regulatorias (NIST survey, 2024)</w:t>
      </w:r>
    </w:p>
    <w:p>
      <w:pPr>
        <w:pStyle w:val="Heading4"/>
        <w:keepNext/>
        <w:keepLines/>
      </w:pPr>
      <w:r>
        <w:t>2. Safe (Seguridad Operacional)</w:t>
      </w:r>
    </w:p>
    <w:p>
      <w:pPr>
        <w:pStyle w:val="ListBullet"/>
        <w:keepLines w:val="1"/>
        <w:keepNext w:val="1"/>
        <w:widowControl w:val="1"/>
      </w:pPr>
      <w:r>
        <w:t>Definición: Ausencia de condiciones que causen daño a vida, salud, propiedad o ambiente</w:t>
      </w:r>
    </w:p>
    <w:p>
      <w:pPr>
        <w:pStyle w:val="ListBullet"/>
        <w:keepLines w:val="1"/>
        <w:keepNext w:val="1"/>
        <w:widowControl w:val="1"/>
      </w:pPr>
      <w:r>
        <w:t>Métricas NIST Sugeridas:</w:t>
      </w:r>
    </w:p>
    <w:p>
      <w:pPr>
        <w:pStyle w:val="ListBullet"/>
        <w:keepLines w:val="1"/>
        <w:keepNext w:val="1"/>
        <w:widowControl w:val="1"/>
      </w:pPr>
      <w:r>
        <w:t>Mean Time to Recover (MTTR) de fallos</w:t>
      </w:r>
    </w:p>
    <w:p>
      <w:pPr>
        <w:pStyle w:val="ListBullet"/>
        <w:keepLines w:val="1"/>
        <w:keepNext w:val="1"/>
        <w:widowControl w:val="1"/>
      </w:pPr>
      <w:r>
        <w:t>Residual risk documentado post-mitigación</w:t>
      </w:r>
    </w:p>
    <w:p>
      <w:pPr>
        <w:pStyle w:val="ListBullet"/>
        <w:keepLines w:val="1"/>
        <w:keepNext w:val="1"/>
        <w:widowControl w:val="1"/>
      </w:pPr>
      <w:r>
        <w:t>Incident response time &lt; 15 min (crítica)</w:t>
      </w:r>
    </w:p>
    <w:p>
      <w:pPr>
        <w:pStyle w:val="ListBullet"/>
        <w:keepLines w:val="1"/>
        <w:widowControl w:val="1"/>
      </w:pPr>
      <w:r>
        <w:t>Criticidad España: Sectores sanitario (diagnosis), transporte (autónomo), energía (SCADA)</w:t>
      </w:r>
    </w:p>
    <w:p>
      <w:pPr>
        <w:pStyle w:val="Heading4"/>
        <w:keepNext/>
        <w:keepLines/>
      </w:pPr>
      <w:r>
        <w:t>3. Secure &amp; Resilient (Seguridad y Resiliencia)</w:t>
      </w:r>
    </w:p>
    <w:p>
      <w:pPr>
        <w:pStyle w:val="ListBullet"/>
        <w:keepLines w:val="1"/>
        <w:keepNext w:val="1"/>
        <w:widowControl w:val="1"/>
      </w:pPr>
      <w:r>
        <w:t>Definición: Resistencia a ataques; confidentialidad, integridad, disponibilidad preservadas</w:t>
      </w:r>
    </w:p>
    <w:p>
      <w:pPr>
        <w:pStyle w:val="ListBullet"/>
        <w:keepLines w:val="1"/>
        <w:keepNext w:val="1"/>
        <w:widowControl w:val="1"/>
      </w:pPr>
      <w:r>
        <w:t>Métricas NIST Sugeridas:</w:t>
      </w:r>
    </w:p>
    <w:p>
      <w:pPr>
        <w:pStyle w:val="ListBullet"/>
        <w:keepLines w:val="1"/>
        <w:keepNext w:val="1"/>
        <w:widowControl w:val="1"/>
      </w:pPr>
      <w:r>
        <w:t>Model extraction detection rate</w:t>
      </w:r>
    </w:p>
    <w:p>
      <w:pPr>
        <w:pStyle w:val="ListBullet"/>
        <w:keepLines w:val="1"/>
        <w:keepNext w:val="1"/>
        <w:widowControl w:val="1"/>
      </w:pPr>
      <w:r>
        <w:t>Breach incidents / total deployments</w:t>
      </w:r>
    </w:p>
    <w:p>
      <w:pPr>
        <w:pStyle w:val="ListBullet"/>
        <w:keepLines w:val="1"/>
        <w:keepNext w:val="1"/>
        <w:widowControl w:val="1"/>
      </w:pPr>
      <w:r>
        <w:t>Mean Time to Detect (MTTD) de anomalías</w:t>
      </w:r>
    </w:p>
    <w:p>
      <w:pPr>
        <w:pStyle w:val="ListBullet"/>
        <w:keepLines w:val="1"/>
        <w:widowControl w:val="1"/>
      </w:pPr>
      <w:r>
        <w:t>Vector Crítico 2024-2026: Data poisoning en training sets; AI supply chain vulnerabilities</w:t>
      </w:r>
    </w:p>
    <w:p>
      <w:pPr>
        <w:pStyle w:val="Heading4"/>
        <w:keepNext/>
        <w:keepLines/>
      </w:pPr>
      <w:r>
        <w:t>4. Accountable &amp; Transparent (Responsabilidad y Transparencia)</w:t>
      </w:r>
    </w:p>
    <w:p>
      <w:pPr>
        <w:pStyle w:val="ListBullet"/>
        <w:keepLines w:val="1"/>
        <w:keepNext w:val="1"/>
        <w:widowControl w:val="1"/>
      </w:pPr>
      <w:r>
        <w:t>Definición: Trazabilidad de decisiones; roles/responsabilidades definidos; documentación accesible</w:t>
      </w:r>
    </w:p>
    <w:p>
      <w:pPr>
        <w:pStyle w:val="ListBullet"/>
        <w:keepLines w:val="1"/>
        <w:keepNext w:val="1"/>
        <w:widowControl w:val="1"/>
      </w:pPr>
      <w:r>
        <w:t>Métricas NIST Sugeridas:</w:t>
      </w:r>
    </w:p>
    <w:p>
      <w:pPr>
        <w:pStyle w:val="ListBullet"/>
        <w:keepLines w:val="1"/>
        <w:keepNext w:val="1"/>
        <w:widowControl w:val="1"/>
      </w:pPr>
      <w:r>
        <w:t>Completitud de audit trails (100%)</w:t>
      </w:r>
    </w:p>
    <w:p>
      <w:pPr>
        <w:pStyle w:val="ListBullet"/>
        <w:keepLines w:val="1"/>
        <w:keepNext w:val="1"/>
        <w:widowControl w:val="1"/>
      </w:pPr>
      <w:r>
        <w:t>Response time a solicitudes de acceso (GDPR/AESIA compliance)</w:t>
      </w:r>
    </w:p>
    <w:p>
      <w:pPr>
        <w:pStyle w:val="ListBullet"/>
        <w:keepLines w:val="1"/>
        <w:keepNext w:val="1"/>
        <w:widowControl w:val="1"/>
      </w:pPr>
      <w:r>
        <w:t>Frequency de reportes independientes</w:t>
      </w:r>
    </w:p>
    <w:p>
      <w:pPr>
        <w:pStyle w:val="ListBullet"/>
        <w:keepLines w:val="1"/>
        <w:widowControl w:val="1"/>
      </w:pPr>
      <w:r>
        <w:t>Normativa España: Obligatorio bajo EU AI Act Art. 50 (agosto 2026)</w:t>
      </w:r>
    </w:p>
    <w:p>
      <w:pPr>
        <w:pStyle w:val="Heading4"/>
        <w:keepNext/>
        <w:keepLines/>
      </w:pPr>
      <w:r>
        <w:t>5. Explainable &amp; Interpretable (Explicabilidad e Interpretabilidad)</w:t>
      </w:r>
    </w:p>
    <w:p>
      <w:pPr>
        <w:pStyle w:val="ListBullet"/>
        <w:keepLines w:val="1"/>
        <w:keepNext w:val="1"/>
        <w:widowControl w:val="1"/>
      </w:pPr>
      <w:r>
        <w:t>Definición: Comprensión por usuarios/operadores del mecanismo y outputs del modelo</w:t>
      </w:r>
    </w:p>
    <w:p>
      <w:pPr>
        <w:pStyle w:val="ListBullet"/>
        <w:keepLines w:val="1"/>
        <w:keepNext w:val="1"/>
        <w:widowControl w:val="1"/>
      </w:pPr>
      <w:r>
        <w:t>Métricas NIST Sugeridas:</w:t>
      </w:r>
    </w:p>
    <w:p>
      <w:pPr>
        <w:pStyle w:val="ListBullet"/>
        <w:keepLines w:val="1"/>
        <w:keepNext w:val="1"/>
        <w:widowControl w:val="1"/>
      </w:pPr>
      <w:r>
        <w:t>Explanation quality scores (user study basado)</w:t>
      </w:r>
    </w:p>
    <w:p>
      <w:pPr>
        <w:pStyle w:val="ListBullet"/>
        <w:keepLines w:val="1"/>
        <w:keepNext w:val="1"/>
        <w:widowControl w:val="1"/>
      </w:pPr>
      <w:r>
        <w:t>Feature importance audits</w:t>
      </w:r>
    </w:p>
    <w:p>
      <w:pPr>
        <w:pStyle w:val="ListBullet"/>
        <w:keepLines w:val="1"/>
        <w:keepNext w:val="1"/>
        <w:widowControl w:val="1"/>
      </w:pPr>
      <w:r>
        <w:t>SHAP/LIME coverage % de outputs</w:t>
      </w:r>
    </w:p>
    <w:p>
      <w:pPr>
        <w:pStyle w:val="ListBullet"/>
        <w:keepLines w:val="1"/>
        <w:widowControl w:val="1"/>
      </w:pPr>
      <w:r>
        <w:t>Caso de Uso España: Decisiones de elegibilidad en beneficios sociales (SSAA)</w:t>
      </w:r>
    </w:p>
    <w:p>
      <w:pPr>
        <w:pStyle w:val="Heading4"/>
        <w:keepNext/>
        <w:keepLines/>
      </w:pPr>
      <w:r>
        <w:t>6. Privacy-Enhanced (Privacidad Mejorada)</w:t>
      </w:r>
    </w:p>
    <w:p>
      <w:pPr>
        <w:pStyle w:val="ListBullet"/>
        <w:keepLines w:val="1"/>
        <w:keepNext w:val="1"/>
        <w:widowControl w:val="1"/>
      </w:pPr>
      <w:r>
        <w:t>Definición: Protección de datos personales y autonomía individual</w:t>
      </w:r>
    </w:p>
    <w:p>
      <w:pPr>
        <w:pStyle w:val="ListBullet"/>
        <w:keepLines w:val="1"/>
        <w:keepNext w:val="1"/>
        <w:widowControl w:val="1"/>
      </w:pPr>
      <w:r>
        <w:t>Métricas NIST Sugeridas:</w:t>
      </w:r>
    </w:p>
    <w:p>
      <w:pPr>
        <w:pStyle w:val="ListBullet"/>
        <w:keepLines w:val="1"/>
        <w:keepNext w:val="1"/>
        <w:widowControl w:val="1"/>
      </w:pPr>
      <w:r>
        <w:t>Data minimization ratio (inputs/outputs reduced)</w:t>
      </w:r>
    </w:p>
    <w:p>
      <w:pPr>
        <w:pStyle w:val="ListBullet"/>
        <w:keepLines w:val="1"/>
        <w:keepNext w:val="1"/>
        <w:widowControl w:val="1"/>
      </w:pPr>
      <w:r>
        <w:t>Privacy-enhancing technology (PET) implementation %</w:t>
      </w:r>
    </w:p>
    <w:p>
      <w:pPr>
        <w:pStyle w:val="ListBullet"/>
        <w:keepLines w:val="1"/>
        <w:keepNext w:val="1"/>
        <w:widowControl w:val="1"/>
      </w:pPr>
      <w:r>
        <w:t>Privacy incident rate / year</w:t>
      </w:r>
    </w:p>
    <w:p>
      <w:pPr>
        <w:pStyle w:val="ListBullet"/>
        <w:keepLines w:val="1"/>
        <w:widowControl w:val="1"/>
      </w:pPr>
      <w:r>
        <w:t>Compliance España: RGPD + LOPD/LPDGDD; NIS2 data protection obligations</w:t>
      </w:r>
    </w:p>
    <w:p>
      <w:pPr>
        <w:pStyle w:val="Heading4"/>
        <w:keepNext/>
        <w:keepLines/>
      </w:pPr>
      <w:r>
        <w:t>7. Fair – with Harmful Bias Managed (Equidad y Bias Controlado)</w:t>
      </w:r>
    </w:p>
    <w:p>
      <w:pPr>
        <w:pStyle w:val="ListBullet"/>
        <w:keepLines w:val="1"/>
        <w:keepNext w:val="1"/>
        <w:widowControl w:val="1"/>
      </w:pPr>
      <w:r>
        <w:t>Definición: Mitigación de sesgos sistémicos, computacionales, cognitivos humanos</w:t>
      </w:r>
    </w:p>
    <w:p>
      <w:pPr>
        <w:pStyle w:val="ListBullet"/>
        <w:keepLines w:val="1"/>
        <w:keepNext w:val="1"/>
        <w:widowControl w:val="1"/>
      </w:pPr>
      <w:r>
        <w:t>Métricas NIST Sugeridas:</w:t>
      </w:r>
    </w:p>
    <w:p>
      <w:pPr>
        <w:pStyle w:val="ListBullet"/>
        <w:keepLines w:val="1"/>
        <w:keepNext w:val="1"/>
        <w:widowControl w:val="1"/>
      </w:pPr>
      <w:r>
        <w:t>Fairness metrics (demographic parity, equalized odds)</w:t>
      </w:r>
    </w:p>
    <w:p>
      <w:pPr>
        <w:pStyle w:val="ListBullet"/>
        <w:keepLines w:val="1"/>
        <w:keepNext w:val="1"/>
        <w:widowControl w:val="1"/>
      </w:pPr>
      <w:r>
        <w:t>False positive disparity &lt; 5% entre grupos</w:t>
      </w:r>
    </w:p>
    <w:p>
      <w:pPr>
        <w:pStyle w:val="ListBullet"/>
        <w:keepLines w:val="1"/>
        <w:keepNext w:val="1"/>
        <w:widowControl w:val="1"/>
      </w:pPr>
      <w:r>
        <w:t>Bias audit frequency (mínimo anual)</w:t>
      </w:r>
    </w:p>
    <w:p>
      <w:pPr>
        <w:pStyle w:val="ListBullet"/>
        <w:keepLines w:val="1"/>
        <w:keepNext w:val="1"/>
        <w:widowControl w:val="1"/>
      </w:pPr>
      <w:r>
        <w:t>Disparate impact analysis</w:t>
      </w:r>
    </w:p>
    <w:p>
      <w:pPr>
        <w:pStyle w:val="ListBullet"/>
        <w:keepLines w:val="1"/>
        <w:widowControl w:val="1"/>
      </w:pPr>
      <w:r>
        <w:t>Criticidad España: Hiring algorithms, creditworthiness assessments, criminal risk scoring</w:t>
      </w:r>
    </w:p>
    <w:p>
      <w:pPr>
        <w:pStyle w:val="Heading3"/>
        <w:keepNext/>
        <w:keepLines/>
      </w:pPr>
      <w:r>
        <w:t>B. Función MEASURE: Operacionalización de Métricas</w:t>
      </w:r>
    </w:p>
    <w:p>
      <w:r>
        <w:t xml:space="preserve">El framework formaliza </w:t>
      </w:r>
      <w:r>
        <w:rPr>
          <w:b/>
        </w:rPr>
        <w:t>MEASURE</w:t>
      </w:r>
      <w:r>
        <w:t xml:space="preserve"> en cuatro subcategorías: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Subcategoría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Output Esperado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MEASURE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Identificar &amp; aplicar métodos de medición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Matriz de riesgos priorizada; gaps documentados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MEASURE 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Evaluar trustworthiness characteristics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Reportes de TEVV (Test, Evaluation, Validation, Verification); scores por característica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MEASURE 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Tracking de riesgos emergentes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Risk register actualizado; incidentes no anticipados catalogados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MEASURE 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Validación de eficacia de medición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Feedback loops integrados; mejoras documentadas</w:t>
            </w:r>
          </w:p>
        </w:tc>
      </w:tr>
    </w:tbl>
    <w:p/>
    <w:p>
      <w:r>
        <w:rPr>
          <w:b/>
        </w:rPr>
        <w:t>Hallazgo Crítico</w:t>
      </w:r>
      <w:r>
        <w:t>: NIST NO prescribe métricas numéricas específicas. Desafía a orgs a contextualizar basado en: (a) sector, (b) use case, (c) stakeholders, (d) disponibilidad de métodos probados.</w:t>
      </w:r>
    </w:p>
    <w:p>
      <w:pPr>
        <w:pStyle w:val="Heading2"/>
        <w:keepNext/>
        <w:keepLines/>
      </w:pPr>
      <w:r>
        <w:rPr>
          <w:color w:val="0066CC"/>
        </w:rPr>
        <w:t>III. CONTEXTO TERRITORIAL ESPAÑA: MARCO REGULATORIO E INDICADORES</w:t>
      </w:r>
    </w:p>
    <w:p>
      <w:pPr>
        <w:pStyle w:val="Heading3"/>
        <w:keepNext/>
        <w:keepLines/>
      </w:pPr>
      <w:r>
        <w:t>A. Normativa Vigente y En Transposición (2024-2026)</w:t>
      </w:r>
    </w:p>
    <w:p>
      <w:pPr>
        <w:pStyle w:val="Heading4"/>
        <w:keepNext/>
        <w:keepLines/>
      </w:pPr>
      <w:r>
        <w:t>1. Reglamento (UE) 2024/1689 (Ley de IA)</w:t>
      </w:r>
    </w:p>
    <w:p>
      <w:pPr>
        <w:pStyle w:val="ListBullet"/>
        <w:keepLines w:val="1"/>
        <w:keepNext w:val="1"/>
        <w:widowControl w:val="1"/>
      </w:pPr>
      <w:r>
        <w:t>Entrada en vigor: Capítulos I-II: 2 febrero 2026</w:t>
      </w:r>
    </w:p>
    <w:p>
      <w:pPr>
        <w:pStyle w:val="ListBullet"/>
        <w:keepLines w:val="1"/>
        <w:keepNext w:val="1"/>
        <w:widowControl w:val="1"/>
      </w:pPr>
      <w:r>
        <w:t>Artículos operativos progresivos:</w:t>
      </w:r>
    </w:p>
    <w:p>
      <w:pPr>
        <w:pStyle w:val="ListBullet"/>
        <w:keepLines w:val="1"/>
        <w:keepNext w:val="1"/>
        <w:widowControl w:val="1"/>
      </w:pPr>
      <w:r>
        <w:t>Art. 50 (Transparencia): Agosto 2026 – Obligación de informar usuarios sobre interacción IA</w:t>
      </w:r>
    </w:p>
    <w:p>
      <w:pPr>
        <w:pStyle w:val="ListBullet"/>
        <w:keepLines w:val="1"/>
        <w:keepNext w:val="1"/>
        <w:widowControl w:val="1"/>
      </w:pPr>
      <w:r>
        <w:t>Art. 28-99 (Conformidad, sanciones): Esperado Q2 2026</w:t>
      </w:r>
    </w:p>
    <w:p>
      <w:pPr>
        <w:pStyle w:val="ListBullet"/>
        <w:keepLines w:val="1"/>
        <w:keepNext w:val="1"/>
        <w:widowControl w:val="1"/>
      </w:pPr>
      <w:r>
        <w:t>Sanciones: €35M o 7% volumen negocio (infracciones muy graves)</w:t>
      </w:r>
    </w:p>
    <w:p>
      <w:pPr>
        <w:pStyle w:val="ListBullet"/>
        <w:keepLines w:val="1"/>
        <w:widowControl w:val="1"/>
      </w:pPr>
      <w:r>
        <w:t>Autoridad de Vigilancia España: Agencia Española de Supervisión de IA (AESIA) – creada marzo 2025</w:t>
      </w:r>
    </w:p>
    <w:p>
      <w:pPr>
        <w:pStyle w:val="Heading4"/>
        <w:keepNext/>
        <w:keepLines/>
      </w:pPr>
      <w:r>
        <w:t>2. Directiva NIS2 (Transposición Españ: Royal Decree 443/2024 + ENS)</w:t>
      </w:r>
    </w:p>
    <w:p>
      <w:pPr>
        <w:pStyle w:val="ListBullet"/>
        <w:keepLines w:val="1"/>
        <w:keepNext w:val="1"/>
        <w:widowControl w:val="1"/>
      </w:pPr>
      <w:r>
        <w:t>Fecha vigencia España: 17 octubre 2024; transposición legislativa hasta enero 2025</w:t>
      </w:r>
    </w:p>
    <w:p>
      <w:pPr>
        <w:pStyle w:val="ListBullet"/>
        <w:keepLines w:val="1"/>
        <w:keepNext w:val="1"/>
        <w:widowControl w:val="1"/>
      </w:pPr>
      <w:r>
        <w:t>Scope: Entidades esenciales e importantes en 12 sectores críticos (energía, transporte, salud, telecomunicaciones, etc.)</w:t>
      </w:r>
    </w:p>
    <w:p>
      <w:pPr>
        <w:pStyle w:val="ListBullet"/>
        <w:keepLines w:val="1"/>
        <w:keepNext w:val="1"/>
        <w:widowControl w:val="1"/>
      </w:pPr>
      <w:r>
        <w:t>Obligaciones clave:</w:t>
      </w:r>
    </w:p>
    <w:p>
      <w:pPr>
        <w:pStyle w:val="ListBullet"/>
        <w:keepLines w:val="1"/>
        <w:keepNext w:val="1"/>
        <w:widowControl w:val="1"/>
      </w:pPr>
      <w:r>
        <w:t>Evaluación periódica de riesgos ciberseguridad</w:t>
      </w:r>
    </w:p>
    <w:p>
      <w:pPr>
        <w:pStyle w:val="ListBullet"/>
        <w:keepLines w:val="1"/>
        <w:keepNext w:val="1"/>
        <w:widowControl w:val="1"/>
      </w:pPr>
      <w:r>
        <w:t>Implementación de medidas de gestión de riesgos</w:t>
      </w:r>
    </w:p>
    <w:p>
      <w:pPr>
        <w:pStyle w:val="ListBullet"/>
        <w:keepLines w:val="1"/>
        <w:keepNext w:val="1"/>
        <w:widowControl w:val="1"/>
      </w:pPr>
      <w:r>
        <w:t>Notificación de incidentes (&lt; 72 horas)</w:t>
      </w:r>
    </w:p>
    <w:p>
      <w:pPr>
        <w:pStyle w:val="ListBullet"/>
        <w:keepLines w:val="1"/>
        <w:keepNext w:val="1"/>
        <w:widowControl w:val="1"/>
      </w:pPr>
      <w:r>
        <w:t>Auditorías independientes</w:t>
      </w:r>
    </w:p>
    <w:p>
      <w:pPr>
        <w:pStyle w:val="ListBullet"/>
        <w:keepLines w:val="1"/>
        <w:widowControl w:val="1"/>
      </w:pPr>
      <w:r>
        <w:t>Sanciones NIS2: €10-20M o 2-4% volumen anual</w:t>
      </w:r>
    </w:p>
    <w:p>
      <w:pPr>
        <w:pStyle w:val="Heading4"/>
        <w:keepNext/>
        <w:keepLines/>
      </w:pPr>
      <w:r>
        <w:t>3. Estrategia Nacional de IA (2024) + Plan Nacional Ciberseguridad (Actualización 2025-2026)</w:t>
      </w:r>
    </w:p>
    <w:p>
      <w:pPr>
        <w:pStyle w:val="ListBullet"/>
        <w:keepLines w:val="1"/>
        <w:keepNext w:val="1"/>
        <w:widowControl w:val="1"/>
      </w:pPr>
      <w:r>
        <w:t>Coordinador: Secretaría de Estado de Digitalización e IA (SEDIA)</w:t>
      </w:r>
    </w:p>
    <w:p>
      <w:pPr>
        <w:pStyle w:val="ListBullet"/>
        <w:keepLines w:val="1"/>
        <w:keepNext w:val="1"/>
        <w:widowControl w:val="1"/>
      </w:pPr>
      <w:r>
        <w:t>Inversión: €1.157 millones (ciberseguridad + resilencia digital)</w:t>
      </w:r>
    </w:p>
    <w:p>
      <w:pPr>
        <w:pStyle w:val="ListBullet"/>
        <w:keepLines w:val="1"/>
        <w:keepNext w:val="1"/>
        <w:widowControl w:val="1"/>
      </w:pPr>
      <w:r>
        <w:t>Iniciativas:</w:t>
      </w:r>
    </w:p>
    <w:p>
      <w:pPr>
        <w:pStyle w:val="ListBullet"/>
        <w:keepLines w:val="1"/>
        <w:keepNext w:val="1"/>
        <w:widowControl w:val="1"/>
      </w:pPr>
      <w:r>
        <w:t>Integración IA en SOCs (Security Operations Centers) nacionales</w:t>
      </w:r>
    </w:p>
    <w:p>
      <w:pPr>
        <w:pStyle w:val="ListBullet"/>
        <w:keepLines w:val="1"/>
        <w:keepNext w:val="1"/>
        <w:widowControl w:val="1"/>
      </w:pPr>
      <w:r>
        <w:t>Red de Competencia Nacional (NCC-ES) – mirror de ECCC europeo</w:t>
      </w:r>
    </w:p>
    <w:p>
      <w:pPr>
        <w:pStyle w:val="ListBullet"/>
        <w:keepLines w:val="1"/>
        <w:keepNext w:val="1"/>
        <w:widowControl w:val="1"/>
      </w:pPr>
      <w:r>
        <w:t>Sandbox regulatorio para high-risk AI systems</w:t>
      </w:r>
    </w:p>
    <w:p>
      <w:pPr>
        <w:pStyle w:val="ListBullet"/>
        <w:keepLines w:val="1"/>
        <w:widowControl w:val="1"/>
      </w:pPr>
      <w:r>
        <w:t>Centros de excelencia (R&amp;D en ciberseguridad + IA)</w:t>
      </w:r>
    </w:p>
    <w:p>
      <w:pPr>
        <w:pStyle w:val="Heading3"/>
        <w:keepNext/>
        <w:keepLines/>
      </w:pPr>
      <w:r>
        <w:t>B. Indicadores de Ciberseguridad Nacional (2024)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Posición NCSI Global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15º (89.17/100)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Estable vs. 2023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Incidentes Detectados (2024)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97.348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↑ 16.6% YoY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Incidentes en Empresas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31.540 (32% del total)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↑ 43.2% YoY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Sistemas Vulnerables Expuestos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183.851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Crítica: vulnerabilidades OT amplificadas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Incidentes Críticos (Sector Público, 2022)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~70 de 55.000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60% cybercrime groups; 40% state-sponsored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Tiempo Promedio Compromiso → Detección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48 minutos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Benchmark CrowdStrike global</w:t>
            </w:r>
          </w:p>
        </w:tc>
      </w:tr>
    </w:tbl>
    <w:p/>
    <w:p>
      <w:pPr>
        <w:pStyle w:val="Heading3"/>
        <w:keepNext/>
        <w:keepLines/>
      </w:pPr>
      <w:r>
        <w:t>C. Capacidad Institucional: INCIBE como Pilar</w:t>
      </w:r>
    </w:p>
    <w:p>
      <w:r>
        <w:rPr>
          <w:b/>
        </w:rPr>
        <w:t>Rol Estratégico</w:t>
      </w:r>
      <w:r>
        <w:t>:</w:t>
      </w:r>
      <w:r/>
      <w:r>
        <w:br/>
        <w:t>- Respuesta a incidentes (INCIBE-CERT)</w:t>
      </w:r>
      <w:r/>
      <w:r>
        <w:br/>
        <w:t>- Supervisión NIS2 (para operadores críticos)</w:t>
      </w:r>
      <w:r/>
      <w:r>
        <w:br/>
        <w:t>- Investigación &amp; desarrollo (Red RENIC)</w:t>
      </w:r>
      <w:r/>
      <w:r>
        <w:br/>
        <w:t>- Capacitación (INCIBE Emprende, Hacker Academy)</w:t>
      </w:r>
    </w:p>
    <w:p>
      <w:r>
        <w:rPr>
          <w:b/>
        </w:rPr>
        <w:t>Fortalezas</w:t>
      </w:r>
      <w:r>
        <w:t>: Marco legal alineado, institución técnica consolidada, inversión creciente</w:t>
      </w:r>
      <w:r/>
      <w:r>
        <w:br/>
      </w:r>
      <w:r>
        <w:rPr>
          <w:b/>
        </w:rPr>
        <w:t>Brechas</w:t>
      </w:r>
      <w:r>
        <w:t>: Capacidad SMEs limitada, velocidad implementación regulatoria, métricas AI aún inmaduras</w:t>
      </w:r>
    </w:p>
    <w:p>
      <w:pPr>
        <w:pStyle w:val="Heading2"/>
        <w:keepNext/>
        <w:keepLines/>
      </w:pPr>
      <w:r>
        <w:rPr>
          <w:color w:val="0066CC"/>
        </w:rPr>
        <w:t>IV. VULNERABILIDADES EMERGENTES EN IA: CADENA SUMINISTRO Y OPERACIONAL (2024-2026)</w:t>
      </w:r>
    </w:p>
    <w:p>
      <w:pPr>
        <w:pStyle w:val="Heading3"/>
        <w:keepNext/>
        <w:keepLines/>
      </w:pPr>
      <w:r>
        <w:t>A. Supply Chain AI Risks (Crítico)</w:t>
      </w:r>
    </w:p>
    <w:p>
      <w:r>
        <w:rPr>
          <w:b/>
        </w:rPr>
        <w:t>Contexto</w:t>
      </w:r>
      <w:r>
        <w:t>: 512.847 paquetes malignos en repositorios open-source detectados en 2024 (↑156% YoY). Python es lenguaje de más rápido crecimiento con vulnerabilidades per-package.</w:t>
      </w:r>
    </w:p>
    <w:p>
      <w:pPr>
        <w:pStyle w:val="Heading4"/>
        <w:keepNext/>
        <w:keepLines/>
      </w:pPr>
      <w:r>
        <w:t>1. CI/CD Pipeline Compromise</w:t>
      </w:r>
    </w:p>
    <w:p>
      <w:pPr>
        <w:pStyle w:val="ListBullet"/>
        <w:keepLines w:val="1"/>
        <w:keepNext w:val="1"/>
        <w:widowControl w:val="1"/>
      </w:pPr>
      <w:r>
        <w:t>Mecánica: Inyección maliciosa en pipelines de integración/deployment</w:t>
      </w:r>
    </w:p>
    <w:p>
      <w:pPr>
        <w:pStyle w:val="ListBullet"/>
        <w:keepLines w:val="1"/>
        <w:keepNext w:val="1"/>
        <w:widowControl w:val="1"/>
      </w:pPr>
      <w:r>
        <w:t>Riesgo: Modelos pre-entrenados distribuidos con puertas traseras</w:t>
      </w:r>
    </w:p>
    <w:p>
      <w:pPr>
        <w:pStyle w:val="ListBullet"/>
        <w:keepLines w:val="1"/>
        <w:widowControl w:val="1"/>
      </w:pPr>
      <w:r>
        <w:t>Mitigation NIST: Cyber AI Profile (Secure función)</w:t>
      </w:r>
    </w:p>
    <w:p>
      <w:pPr>
        <w:pStyle w:val="Heading4"/>
        <w:keepNext/>
        <w:keepLines/>
      </w:pPr>
      <w:r>
        <w:t>2. Data Poisoning</w:t>
      </w:r>
    </w:p>
    <w:p>
      <w:pPr>
        <w:pStyle w:val="ListBullet"/>
        <w:keepLines w:val="1"/>
        <w:keepNext w:val="1"/>
        <w:widowControl w:val="1"/>
      </w:pPr>
      <w:r>
        <w:t>Mecánica: Contaminación intencional de datasets de entrenamiento</w:t>
      </w:r>
    </w:p>
    <w:p>
      <w:pPr>
        <w:pStyle w:val="ListBullet"/>
        <w:keepLines w:val="1"/>
        <w:keepNext w:val="1"/>
        <w:widowControl w:val="1"/>
      </w:pPr>
      <w:r>
        <w:t>Riesgo: Modelos que toman decisiones sesgadas/maliciosas post-deployment</w:t>
      </w:r>
    </w:p>
    <w:p>
      <w:pPr>
        <w:pStyle w:val="ListBullet"/>
        <w:keepLines w:val="1"/>
        <w:keepNext w:val="1"/>
        <w:widowControl w:val="1"/>
      </w:pPr>
      <w:r>
        <w:t>Ejemplo: Modelo de detección de malware entrenado con datos envenenados → ignora variantes específicas</w:t>
      </w:r>
    </w:p>
    <w:p>
      <w:pPr>
        <w:pStyle w:val="ListBullet"/>
        <w:keepLines w:val="1"/>
        <w:widowControl w:val="1"/>
      </w:pPr>
      <w:r>
        <w:t>Métrica NIST: MEASURE 2.11 (fairness evaluation) + 2.4 (safety testing under adversarial conditions)</w:t>
      </w:r>
    </w:p>
    <w:p>
      <w:pPr>
        <w:pStyle w:val="Heading4"/>
        <w:keepNext/>
        <w:keepLines/>
      </w:pPr>
      <w:r>
        <w:t>3. Model Extraction</w:t>
      </w:r>
    </w:p>
    <w:p>
      <w:pPr>
        <w:pStyle w:val="ListBullet"/>
        <w:keepLines w:val="1"/>
        <w:keepNext w:val="1"/>
        <w:widowControl w:val="1"/>
      </w:pPr>
      <w:r>
        <w:t>Mecánica: Replicación de modelo propietario vía queries repetidas a API</w:t>
      </w:r>
    </w:p>
    <w:p>
      <w:pPr>
        <w:pStyle w:val="ListBullet"/>
        <w:keepLines w:val="1"/>
        <w:keepNext w:val="1"/>
        <w:widowControl w:val="1"/>
      </w:pPr>
      <w:r>
        <w:t>Riesgo: Theft de intellectual property; compromiso de confidentialidad</w:t>
      </w:r>
    </w:p>
    <w:p>
      <w:pPr>
        <w:pStyle w:val="ListBullet"/>
        <w:keepLines w:val="1"/>
        <w:widowControl w:val="1"/>
      </w:pPr>
      <w:r>
        <w:t>Detección: Anomalía en patrón queries; correlación entrada-salida</w:t>
      </w:r>
    </w:p>
    <w:p>
      <w:pPr>
        <w:pStyle w:val="Heading4"/>
        <w:keepNext/>
        <w:keepLines/>
      </w:pPr>
      <w:r>
        <w:t>4. Prompt Injection &amp; Jailbreaking</w:t>
      </w:r>
    </w:p>
    <w:p>
      <w:pPr>
        <w:pStyle w:val="ListBullet"/>
        <w:keepLines w:val="1"/>
        <w:keepNext w:val="1"/>
        <w:widowControl w:val="1"/>
      </w:pPr>
      <w:r>
        <w:t>Mecánica: LLMs manipuladas para revelar information restringida o ejecutar acciones no autorizadas</w:t>
      </w:r>
    </w:p>
    <w:p>
      <w:pPr>
        <w:pStyle w:val="ListBullet"/>
        <w:keepLines w:val="1"/>
        <w:keepNext w:val="1"/>
        <w:widowControl w:val="1"/>
      </w:pPr>
      <w:r>
        <w:t>Riesgo: Bypass de safety controls; data exfiltration</w:t>
      </w:r>
    </w:p>
    <w:p>
      <w:pPr>
        <w:pStyle w:val="ListBullet"/>
        <w:keepLines w:val="1"/>
        <w:widowControl w:val="1"/>
      </w:pPr>
      <w:r>
        <w:t>OWASP Top 10 LLM Risks: Rank 1 (LLM01:2023 Prompt Injection)</w:t>
      </w:r>
    </w:p>
    <w:p>
      <w:pPr>
        <w:pStyle w:val="Heading3"/>
        <w:keepNext/>
        <w:keepLines/>
      </w:pPr>
      <w:r>
        <w:t>B. Threat Actors Documentados (OpenAI + NSA/CISA, 2024)</w:t>
      </w:r>
    </w:p>
    <w:p>
      <w:r>
        <w:rPr>
          <w:b/>
        </w:rPr>
        <w:t>Tres grupos identificados</w:t>
      </w:r>
      <w:r>
        <w:t>:</w:t>
      </w:r>
      <w:r/>
      <w:r>
        <w:br/>
        <w:t xml:space="preserve">1. </w:t>
      </w:r>
      <w:r>
        <w:rPr>
          <w:b/>
        </w:rPr>
        <w:t>Chinese APT</w:t>
      </w:r>
      <w:r>
        <w:t>: Scripting, vulnerability analysis vía ChatGPT</w:t>
      </w:r>
      <w:r/>
      <w:r>
        <w:br/>
        <w:t xml:space="preserve">2. </w:t>
      </w:r>
      <w:r>
        <w:rPr>
          <w:b/>
        </w:rPr>
        <w:t>Iranian APT (Group 1)</w:t>
      </w:r>
      <w:r>
        <w:t>: Custom bash/Python malware development</w:t>
      </w:r>
      <w:r/>
      <w:r>
        <w:br/>
        <w:t xml:space="preserve">3. </w:t>
      </w:r>
      <w:r>
        <w:rPr>
          <w:b/>
        </w:rPr>
        <w:t>Iranian APT (Group 2)</w:t>
      </w:r>
      <w:r>
        <w:t>: Android malware obfuscation, C2 communications</w:t>
      </w:r>
    </w:p>
    <w:p>
      <w:r>
        <w:rPr>
          <w:b/>
        </w:rPr>
        <w:t>Impacto</w:t>
      </w:r>
      <w:r>
        <w:t>: Escalado significativo de capacidades ofensivas; tiempo-a-explotación reducido</w:t>
      </w:r>
    </w:p>
    <w:p>
      <w:pPr>
        <w:pStyle w:val="Heading2"/>
        <w:keepNext/>
        <w:keepLines/>
      </w:pPr>
      <w:r>
        <w:rPr>
          <w:color w:val="0066CC"/>
        </w:rPr>
        <w:t>V. NIST AI RMF VS. MARCOS INTERNACIONALES: PERSPECTIVA COMPARATIVA</w:t>
      </w:r>
    </w:p>
    <w:p>
      <w:pPr>
        <w:pStyle w:val="Heading3"/>
        <w:keepNext/>
        <w:keepLines/>
      </w:pPr>
      <w:r>
        <w:t>A. Matriz de Comparación (NIST vs. EU AI 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AI RMF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 AI Act (RIA 2024/1689)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Híbrido Óptimo (España)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Naturaleza Legal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Voluntario (orientativo)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(legal)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Dual: voluntario + conformidad verificable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Enfoque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Flexible, context-driven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Pirámide: prohibido, alto, limitado, mínimo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Mapped: NIST MAP → EU risk classification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Transparencia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Recomendada (MEASURE 2.8)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Mandatoria Art. 50 (agosto 2026)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con NIST-defined metrics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Orientación emergente (GenAI Profile)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trazabilidad (Art. 28-29)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Cyber AI Profile + EU conformity docs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Interna recomendada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Externa mandatoria (Notified Bodies)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Ambas: interna (NIST), externa (AESIA)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Sanciones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N/A (framework guidance)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€35M o 7% volumen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EU sanciones + reputacional (NIST no-conformidad)</w:t>
            </w:r>
          </w:p>
        </w:tc>
      </w:tr>
    </w:tbl>
    <w:p/>
    <w:p>
      <w:pPr>
        <w:pStyle w:val="Heading3"/>
        <w:keepNext/>
        <w:keepLines/>
      </w:pPr>
      <w:r>
        <w:t>B. Convergencia Global: ISO/IEC Frameworks</w:t>
      </w:r>
    </w:p>
    <w:p>
      <w:r>
        <w:rPr>
          <w:b/>
        </w:rPr>
        <w:t>ISO/IEC 23894:2023</w:t>
      </w:r>
      <w:r>
        <w:t xml:space="preserve"> (AI Risk Management) alinea con:</w:t>
      </w:r>
      <w:r/>
      <w:r>
        <w:br/>
        <w:t>- NIST AI RMF (funciones análogas: Map/Identify/Assess)</w:t>
      </w:r>
      <w:r/>
      <w:r>
        <w:br/>
        <w:t>- ISO 31000:2018 (ERM principles)</w:t>
      </w:r>
      <w:r/>
      <w:r>
        <w:br/>
        <w:t>- ISO/IEC 42001 (AI Management Systems)</w:t>
      </w:r>
    </w:p>
    <w:p>
      <w:r>
        <w:rPr>
          <w:b/>
        </w:rPr>
        <w:t>España debe</w:t>
      </w:r>
      <w:r>
        <w:t>: Mapear NIST → EU AI Act → ISO 23894 para compliance integrada (no triple documentación)</w:t>
      </w:r>
    </w:p>
    <w:p>
      <w:pPr>
        <w:pStyle w:val="Heading2"/>
        <w:keepNext/>
        <w:keepLines/>
      </w:pPr>
      <w:r>
        <w:rPr>
          <w:color w:val="0066CC"/>
        </w:rPr>
        <w:t>VI. MÉTRICAS DE RESILIENCIA DIGITAL + CONTINUIDAD DE NEGOCIO CON IA</w:t>
      </w:r>
    </w:p>
    <w:p>
      <w:pPr>
        <w:pStyle w:val="Heading3"/>
        <w:keepNext/>
        <w:keepLines/>
      </w:pPr>
      <w:r>
        <w:t>A. Integración IA en Disaster Recovery (IDC/CyberEdge, 2024)</w:t>
      </w:r>
    </w:p>
    <w:p>
      <w:r>
        <w:rPr>
          <w:b/>
        </w:rPr>
        <w:t>Hallazgo Principal</w:t>
      </w:r>
      <w:r>
        <w:t>: Empresas con automatización AI-driven en recovery reportan €2.44M de ahorro promedio en costos de brechas.</w:t>
      </w:r>
    </w:p>
    <w:p>
      <w:pPr>
        <w:pStyle w:val="Heading4"/>
        <w:keepNext/>
        <w:keepLines/>
      </w:pPr>
      <w:r>
        <w:t>1. Detección Predictiva (Anomaly Detection)</w:t>
      </w:r>
    </w:p>
    <w:p>
      <w:pPr>
        <w:pStyle w:val="ListBullet"/>
        <w:keepLines w:val="1"/>
        <w:keepNext w:val="1"/>
        <w:widowControl w:val="1"/>
      </w:pPr>
      <w:r>
        <w:t>Métrica: MTTD (Mean Time to Detect) &lt; 15 minutos</w:t>
      </w:r>
    </w:p>
    <w:p>
      <w:pPr>
        <w:pStyle w:val="ListBullet"/>
        <w:keepLines w:val="1"/>
        <w:keepNext w:val="1"/>
        <w:widowControl w:val="1"/>
      </w:pPr>
      <w:r>
        <w:t>Capabilidad: Comportamiento anómalo (credential stuffing, firmware corruption)</w:t>
      </w:r>
    </w:p>
    <w:p>
      <w:pPr>
        <w:pStyle w:val="ListBullet"/>
        <w:keepLines w:val="1"/>
        <w:widowControl w:val="1"/>
      </w:pPr>
      <w:r>
        <w:t>ROI: Pre-staging de fixes; aislamiento de segmentos vulnerables</w:t>
      </w:r>
    </w:p>
    <w:p>
      <w:pPr>
        <w:pStyle w:val="Heading4"/>
        <w:keepNext/>
        <w:keepLines/>
      </w:pPr>
      <w:r>
        <w:t>2. Automatización de Recovery</w:t>
      </w:r>
    </w:p>
    <w:p>
      <w:pPr>
        <w:pStyle w:val="ListBullet"/>
        <w:keepLines w:val="1"/>
        <w:keepNext w:val="1"/>
        <w:widowControl w:val="1"/>
      </w:pPr>
      <w:r>
        <w:t>Métrica: Validación de integridad de backups pre-restauración; rerouting automático de red</w:t>
      </w:r>
    </w:p>
    <w:p>
      <w:pPr>
        <w:pStyle w:val="ListBullet"/>
        <w:keepLines w:val="1"/>
        <w:keepNext w:val="1"/>
        <w:widowControl w:val="1"/>
      </w:pPr>
      <w:r>
        <w:t>Capabilidad: Simultaneous detection → decisioning → orchestration (segundos vs. horas manuales)</w:t>
      </w:r>
    </w:p>
    <w:p>
      <w:pPr>
        <w:pStyle w:val="ListBullet"/>
        <w:keepLines w:val="1"/>
        <w:widowControl w:val="1"/>
      </w:pPr>
      <w:r>
        <w:t>Caso de Uso España: Recovery de sistemas SCADA en sector energía</w:t>
      </w:r>
    </w:p>
    <w:p>
      <w:pPr>
        <w:pStyle w:val="Heading4"/>
        <w:keepNext/>
        <w:keepLines/>
      </w:pPr>
      <w:r>
        <w:t>3. Human-AI Collaboration (10-80-10 Model)</w:t>
      </w:r>
    </w:p>
    <w:p>
      <w:pPr>
        <w:pStyle w:val="ListBullet"/>
        <w:keepLines w:val="1"/>
        <w:keepNext w:val="1"/>
        <w:widowControl w:val="1"/>
      </w:pPr>
      <w:r>
        <w:t>10%: Decisiones totalmente automatizadas (incident classification basic)</w:t>
      </w:r>
    </w:p>
    <w:p>
      <w:pPr>
        <w:pStyle w:val="ListBullet"/>
        <w:keepLines w:val="1"/>
        <w:keepNext w:val="1"/>
        <w:widowControl w:val="1"/>
      </w:pPr>
      <w:r>
        <w:t>80%: Colaboración hybrid (AI suggiere acciones; human valida/refina)</w:t>
      </w:r>
    </w:p>
    <w:p>
      <w:pPr>
        <w:pStyle w:val="ListBullet"/>
        <w:keepLines w:val="1"/>
        <w:widowControl w:val="1"/>
      </w:pPr>
      <w:r>
        <w:t>10%: Decisiones humanas puras (ethical dilemmas, crisis politics)</w:t>
      </w:r>
    </w:p>
    <w:p>
      <w:pPr>
        <w:pStyle w:val="Heading3"/>
        <w:keepNext/>
        <w:keepLines/>
      </w:pPr>
      <w:r>
        <w:t>B. Resiliencia Operacional: Modelo ISACA 2025</w:t>
      </w:r>
    </w:p>
    <w:p>
      <w:r>
        <w:rPr>
          <w:b/>
        </w:rPr>
        <w:t>Riesgos AI en Resiliencia</w:t>
      </w:r>
      <w:r>
        <w:t>:</w:t>
      </w:r>
      <w:r/>
      <w:r>
        <w:br/>
        <w:t xml:space="preserve">1. </w:t>
      </w:r>
      <w:r>
        <w:rPr>
          <w:b/>
        </w:rPr>
        <w:t>AI Agents Autonomous</w:t>
      </w:r>
      <w:r>
        <w:t>: Pueden fallar sin intervención humana → fallbacks requeridos</w:t>
      </w:r>
      <w:r/>
      <w:r>
        <w:br/>
        <w:t xml:space="preserve">2. </w:t>
      </w:r>
      <w:r>
        <w:rPr>
          <w:b/>
        </w:rPr>
        <w:t>Synthetic Data Testing</w:t>
      </w:r>
      <w:r>
        <w:t>: Prepara equipos contra disrupciones no experimentadas</w:t>
      </w:r>
      <w:r/>
      <w:r>
        <w:br/>
        <w:t xml:space="preserve">3. </w:t>
      </w:r>
      <w:r>
        <w:rPr>
          <w:b/>
        </w:rPr>
        <w:t>Self-Healing Systems</w:t>
      </w:r>
      <w:r>
        <w:t>: "Good AI" vs. "Bad AI" arms race en detección/evasión</w:t>
      </w:r>
    </w:p>
    <w:p>
      <w:pPr>
        <w:pStyle w:val="Heading3"/>
        <w:keepNext/>
        <w:keepLines/>
      </w:pPr>
      <w:r>
        <w:t>C. Casos de Uso España: Sectores Críticos</w:t>
      </w:r>
    </w:p>
    <w:p>
      <w:pPr>
        <w:pStyle w:val="Heading4"/>
        <w:keepNext/>
        <w:keepLines/>
      </w:pPr>
      <w:r>
        <w:t>Sector Energía (Red Eléctrica Ibérica)</w:t>
      </w:r>
    </w:p>
    <w:p>
      <w:pPr>
        <w:pStyle w:val="ListBullet"/>
        <w:keepLines w:val="1"/>
        <w:keepNext w:val="1"/>
        <w:widowControl w:val="1"/>
      </w:pPr>
      <w:r>
        <w:t>Riesgo: Fallo de SCADA → blackout nacional (precedente: abril 2025, outage Iberia)</w:t>
      </w:r>
    </w:p>
    <w:p>
      <w:pPr>
        <w:pStyle w:val="ListBullet"/>
        <w:keepLines w:val="1"/>
        <w:keepNext w:val="1"/>
        <w:widowControl w:val="1"/>
      </w:pPr>
      <w:r>
        <w:t>NIST Aplicación: GOVERN (políticas fail-safe), MEASURE (anomaly detection en OT), MANAGE (recovery orchestration)</w:t>
      </w:r>
    </w:p>
    <w:p>
      <w:pPr>
        <w:pStyle w:val="ListBullet"/>
        <w:keepLines w:val="1"/>
        <w:widowControl w:val="1"/>
      </w:pPr>
      <w:r>
        <w:t>Métrica Resiliencia: RTO &lt; 4 horas; RPO &lt; 15 minutos</w:t>
      </w:r>
    </w:p>
    <w:p>
      <w:pPr>
        <w:pStyle w:val="Heading4"/>
        <w:keepNext/>
        <w:keepLines/>
      </w:pPr>
      <w:r>
        <w:t>Sector Salud (Hospitales)</w:t>
      </w:r>
    </w:p>
    <w:p>
      <w:pPr>
        <w:pStyle w:val="ListBullet"/>
        <w:keepLines w:val="1"/>
        <w:keepNext w:val="1"/>
        <w:widowControl w:val="1"/>
      </w:pPr>
      <w:r>
        <w:t>Riesgo: Ransomware en sistemas diagnosis → unavailable clinical workflows</w:t>
      </w:r>
    </w:p>
    <w:p>
      <w:pPr>
        <w:pStyle w:val="ListBullet"/>
        <w:keepLines w:val="1"/>
        <w:keepNext w:val="1"/>
        <w:widowControl w:val="1"/>
      </w:pPr>
      <w:r>
        <w:t>NIST Aplicación: MAP (stakeholder impact modeling), MEASURE (performance under stress), MANAGE (incident communication)</w:t>
      </w:r>
    </w:p>
    <w:p>
      <w:pPr>
        <w:pStyle w:val="ListBullet"/>
        <w:keepLines w:val="1"/>
        <w:widowControl w:val="1"/>
      </w:pPr>
      <w:r>
        <w:t>Métrica Resiliencia: Continuidad de operaciones críticas ≥ 95%; backup systems activados &lt; 5 min</w:t>
      </w:r>
    </w:p>
    <w:p>
      <w:pPr>
        <w:pStyle w:val="Heading4"/>
        <w:keepNext/>
        <w:keepLines/>
      </w:pPr>
      <w:r>
        <w:t>Sector Transporte (Renfe, Aeropuertos)</w:t>
      </w:r>
    </w:p>
    <w:p>
      <w:pPr>
        <w:pStyle w:val="ListBullet"/>
        <w:keepLines w:val="1"/>
        <w:keepNext w:val="1"/>
        <w:widowControl w:val="1"/>
      </w:pPr>
      <w:r>
        <w:t>Riesgo: IA de navegación/scheduling comprometida → disruption masiva</w:t>
      </w:r>
    </w:p>
    <w:p>
      <w:pPr>
        <w:pStyle w:val="ListBullet"/>
        <w:keepLines w:val="1"/>
        <w:keepNext w:val="1"/>
        <w:widowControl w:val="1"/>
      </w:pPr>
      <w:r>
        <w:t>NIST Aplicación: Secure (model integrity verification), Defend (detection de anomalías en outputs)</w:t>
      </w:r>
    </w:p>
    <w:p>
      <w:pPr>
        <w:pStyle w:val="ListBullet"/>
        <w:keepLines w:val="1"/>
        <w:widowControl w:val="1"/>
      </w:pPr>
      <w:r>
        <w:t>Métrica Resiliencia: Redundancia de sistemas críticos; human override capability</w:t>
      </w:r>
    </w:p>
    <w:p>
      <w:pPr>
        <w:pStyle w:val="Heading2"/>
        <w:keepNext/>
        <w:keepLines/>
      </w:pPr>
      <w:r>
        <w:rPr>
          <w:color w:val="0066CC"/>
        </w:rPr>
        <w:t>VII. RECOMENDACIONES ESTRATÉGICAS: ESPAÑA 2026-2028</w:t>
      </w:r>
    </w:p>
    <w:p>
      <w:pPr>
        <w:pStyle w:val="Heading3"/>
        <w:keepNext/>
        <w:keepLines/>
      </w:pPr>
      <w:r>
        <w:t>A. Para Autoridades Regulatorias (AESIA, INCIBE, SEDIA)</w:t>
      </w:r>
    </w:p>
    <w:p>
      <w:pPr>
        <w:pStyle w:val="ListNumber"/>
        <w:keepLines w:val="1"/>
        <w:keepNext w:val="1"/>
        <w:widowControl w:val="1"/>
      </w:pPr>
      <w:r>
        <w:t>Publicar Guía de Mapeo Normativo (Q2 2026)</w:t>
      </w:r>
    </w:p>
    <w:p>
      <w:pPr>
        <w:pStyle w:val="ListNumber"/>
        <w:keepLines w:val="1"/>
        <w:keepNext w:val="1"/>
        <w:widowControl w:val="1"/>
      </w:pPr>
      <w:r>
        <w:t>NIST AI RMF funciones → EU AI Act Artículos</w:t>
      </w:r>
    </w:p>
    <w:p>
      <w:pPr>
        <w:pStyle w:val="ListNumber"/>
        <w:keepLines w:val="1"/>
        <w:keepNext w:val="1"/>
        <w:widowControl w:val="1"/>
      </w:pPr>
      <w:r>
        <w:t>Checklist de cumplimiento dual para operadores</w:t>
      </w:r>
    </w:p>
    <w:p>
      <w:pPr>
        <w:pStyle w:val="ListNumber"/>
        <w:keepLines w:val="1"/>
        <w:keepNext w:val="1"/>
        <w:widowControl w:val="1"/>
      </w:pPr>
      <w:r>
        <w:br/>
        <w:t>Ejemplos sector-específicos (sanitario, energía, transporte)</w:t>
        <w:br/>
      </w:r>
    </w:p>
    <w:p>
      <w:pPr>
        <w:pStyle w:val="ListNumber"/>
        <w:keepLines w:val="1"/>
        <w:keepNext w:val="1"/>
        <w:widowControl w:val="1"/>
      </w:pPr>
      <w:r>
        <w:br/>
        <w:t>Extender ENS (Esquema Nacional Seguridad) con AI-specific Controls</w:t>
        <w:br/>
      </w:r>
    </w:p>
    <w:p>
      <w:pPr>
        <w:pStyle w:val="ListNumber"/>
        <w:keepLines w:val="1"/>
        <w:keepNext w:val="1"/>
        <w:widowControl w:val="1"/>
      </w:pPr>
      <w:r>
        <w:t>Integrar MEASURE function de NIST</w:t>
      </w:r>
    </w:p>
    <w:p>
      <w:pPr>
        <w:pStyle w:val="ListNumber"/>
        <w:keepLines w:val="1"/>
        <w:keepNext w:val="1"/>
        <w:widowControl w:val="1"/>
      </w:pPr>
      <w:r>
        <w:t>Requerir documentación de trustworthiness characteristics</w:t>
      </w:r>
    </w:p>
    <w:p>
      <w:pPr>
        <w:pStyle w:val="ListNumber"/>
        <w:keepLines w:val="1"/>
        <w:keepNext w:val="1"/>
        <w:widowControl w:val="1"/>
      </w:pPr>
      <w:r>
        <w:br/>
        <w:t>Audit trail completeness (100%) como baseline</w:t>
        <w:br/>
      </w:r>
    </w:p>
    <w:p>
      <w:pPr>
        <w:pStyle w:val="ListNumber"/>
        <w:keepLines w:val="1"/>
        <w:keepNext w:val="1"/>
        <w:widowControl w:val="1"/>
      </w:pPr>
      <w:r>
        <w:br/>
        <w:t>Desarrollar Métricas de Sector</w:t>
        <w:br/>
      </w:r>
    </w:p>
    <w:p>
      <w:pPr>
        <w:pStyle w:val="ListNumber"/>
        <w:keepLines w:val="1"/>
        <w:keepNext w:val="1"/>
        <w:widowControl w:val="1"/>
      </w:pPr>
      <w:r>
        <w:t>Energía: Anomaly detection benchmark para SCADA</w:t>
      </w:r>
    </w:p>
    <w:p>
      <w:pPr>
        <w:pStyle w:val="ListNumber"/>
        <w:keepLines w:val="1"/>
        <w:keepNext w:val="1"/>
        <w:widowControl w:val="1"/>
      </w:pPr>
      <w:r>
        <w:t>Salud: Accuracy/fairness thresholds para sistemas diagnosis</w:t>
      </w:r>
    </w:p>
    <w:p>
      <w:pPr>
        <w:pStyle w:val="ListNumber"/>
        <w:keepLines w:val="1"/>
        <w:keepNext w:val="1"/>
        <w:widowControl w:val="1"/>
      </w:pPr>
      <w:r>
        <w:t>Transporte: Safety metrics para autonomous systems</w:t>
      </w:r>
    </w:p>
    <w:p>
      <w:pPr>
        <w:pStyle w:val="ListNumber"/>
        <w:keepLines w:val="1"/>
        <w:widowControl w:val="1"/>
      </w:pPr>
      <w:r>
        <w:t>Publicar anualmente (similar a CIS Benchmarks)</w:t>
      </w:r>
    </w:p>
    <w:p>
      <w:r>
        <w:t>Ejemplos sector-específicos (sanitario, energía, transporte)</w:t>
      </w:r>
    </w:p>
    <w:p>
      <w:r>
        <w:rPr>
          <w:b/>
        </w:rPr>
        <w:t>Extender ENS (Esquema Nacional Seguridad)</w:t>
      </w:r>
      <w:r>
        <w:t xml:space="preserve"> con AI-specific Controls</w:t>
      </w:r>
    </w:p>
    <w:p>
      <w:r>
        <w:t>Audit trail completeness (100%) como baseline</w:t>
      </w:r>
    </w:p>
    <w:p>
      <w:r>
        <w:rPr>
          <w:b/>
        </w:rPr>
        <w:t>Desarrollar Métricas de Sector</w:t>
      </w:r>
    </w:p>
    <w:p>
      <w:pPr>
        <w:pStyle w:val="Heading3"/>
        <w:keepNext/>
        <w:keepLines/>
      </w:pPr>
      <w:r>
        <w:t>B. Para Sector Privado (Operadores Críticos &amp; SMEs)</w:t>
      </w:r>
    </w:p>
    <w:p>
      <w:pPr>
        <w:pStyle w:val="ListNumber"/>
        <w:keepLines w:val="1"/>
        <w:keepNext w:val="1"/>
        <w:widowControl w:val="1"/>
      </w:pPr>
      <w:r>
        <w:t>Operadores Esenciales: Implementar NIST GOVERN + MAP antes de 2027 (preemptive)</w:t>
      </w:r>
    </w:p>
    <w:p>
      <w:pPr>
        <w:pStyle w:val="ListNumber"/>
        <w:keepLines w:val="1"/>
        <w:keepNext w:val="1"/>
        <w:widowControl w:val="1"/>
      </w:pPr>
      <w:r>
        <w:t>Formar AI Governance Committee (Board-level oversight)</w:t>
      </w:r>
    </w:p>
    <w:p>
      <w:pPr>
        <w:pStyle w:val="ListNumber"/>
        <w:keepLines w:val="1"/>
        <w:keepNext w:val="1"/>
        <w:widowControl w:val="1"/>
      </w:pPr>
      <w:r>
        <w:t>Documentar AI use case inventory con riesgo classification</w:t>
      </w:r>
    </w:p>
    <w:p>
      <w:pPr>
        <w:pStyle w:val="ListNumber"/>
        <w:keepLines w:val="1"/>
        <w:keepNext w:val="1"/>
        <w:widowControl w:val="1"/>
      </w:pPr>
      <w:r>
        <w:br/>
        <w:t>Establecer risk tolerance statements por categoría</w:t>
        <w:br/>
      </w:r>
    </w:p>
    <w:p>
      <w:pPr>
        <w:pStyle w:val="ListNumber"/>
        <w:keepLines w:val="1"/>
        <w:keepNext w:val="1"/>
        <w:widowControl w:val="1"/>
      </w:pPr>
      <w:r>
        <w:br/>
        <w:t>Programa SME Acelerado (INCIBE + CDTI)</w:t>
        <w:br/>
      </w:r>
    </w:p>
    <w:p>
      <w:pPr>
        <w:pStyle w:val="ListNumber"/>
        <w:keepLines w:val="1"/>
        <w:keepNext w:val="1"/>
        <w:widowControl w:val="1"/>
      </w:pPr>
      <w:r>
        <w:t>Financiamiento para implementación NIST Measure/Manage</w:t>
      </w:r>
    </w:p>
    <w:p>
      <w:pPr>
        <w:pStyle w:val="ListNumber"/>
        <w:keepLines w:val="1"/>
        <w:keepNext w:val="1"/>
        <w:widowControl w:val="1"/>
      </w:pPr>
      <w:r>
        <w:t>Mentoring de peers (large org. mentors SME)</w:t>
      </w:r>
    </w:p>
    <w:p>
      <w:pPr>
        <w:pStyle w:val="ListNumber"/>
        <w:keepLines w:val="1"/>
        <w:keepNext w:val="1"/>
        <w:widowControl w:val="1"/>
      </w:pPr>
      <w:r>
        <w:br/>
        <w:t>Certificación de madurez IA (roadmap a ISO/IEC 42001)</w:t>
        <w:br/>
      </w:r>
    </w:p>
    <w:p>
      <w:pPr>
        <w:pStyle w:val="ListNumber"/>
        <w:keepLines w:val="1"/>
        <w:keepNext w:val="1"/>
        <w:widowControl w:val="1"/>
      </w:pPr>
      <w:r>
        <w:br/>
        <w:t>Supply Chain Security</w:t>
        <w:br/>
      </w:r>
    </w:p>
    <w:p>
      <w:pPr>
        <w:pStyle w:val="ListNumber"/>
        <w:keepLines w:val="1"/>
        <w:keepNext w:val="1"/>
        <w:widowControl w:val="1"/>
      </w:pPr>
      <w:r>
        <w:t>Auditar modelos pre-entrenados (provenance, tampering detection)</w:t>
      </w:r>
    </w:p>
    <w:p>
      <w:pPr>
        <w:pStyle w:val="ListNumber"/>
        <w:keepLines w:val="1"/>
        <w:keepNext w:val="1"/>
        <w:widowControl w:val="1"/>
      </w:pPr>
      <w:r>
        <w:t>Implementar Cyber AI Profile (Secure función) para CI/CD</w:t>
      </w:r>
    </w:p>
    <w:p>
      <w:pPr>
        <w:pStyle w:val="ListNumber"/>
        <w:keepLines w:val="1"/>
        <w:widowControl w:val="1"/>
      </w:pPr>
      <w:r>
        <w:t>Participar en threat intelligence sharing (INCIBE-CERT channels)</w:t>
      </w:r>
    </w:p>
    <w:p>
      <w:r>
        <w:t>Establecer risk tolerance statements por categoría</w:t>
      </w:r>
    </w:p>
    <w:p>
      <w:r>
        <w:rPr>
          <w:b/>
        </w:rPr>
        <w:t>Programa SME Acelerado</w:t>
      </w:r>
      <w:r>
        <w:t xml:space="preserve"> (INCIBE + CDTI)</w:t>
      </w:r>
    </w:p>
    <w:p>
      <w:r>
        <w:t>Certificación de madurez IA (roadmap a ISO/IEC 42001)</w:t>
      </w:r>
    </w:p>
    <w:p>
      <w:r>
        <w:rPr>
          <w:b/>
        </w:rPr>
        <w:t>Supply Chain Security</w:t>
      </w:r>
    </w:p>
    <w:p>
      <w:pPr>
        <w:pStyle w:val="Heading3"/>
        <w:keepNext/>
        <w:keepLines/>
      </w:pPr>
      <w:r>
        <w:t>C. Para Investigación &amp; Academia</w:t>
      </w:r>
    </w:p>
    <w:p>
      <w:pPr>
        <w:pStyle w:val="ListNumber"/>
        <w:keepLines w:val="1"/>
        <w:keepNext w:val="1"/>
        <w:widowControl w:val="1"/>
      </w:pPr>
      <w:r>
        <w:t>Centros de Excelencia NIST</w:t>
      </w:r>
    </w:p>
    <w:p>
      <w:pPr>
        <w:pStyle w:val="ListNumber"/>
        <w:keepLines w:val="1"/>
        <w:keepNext w:val="1"/>
        <w:widowControl w:val="1"/>
      </w:pPr>
      <w:r>
        <w:t>UAM, UPM, UC3M: Laboratorios de evaluación AI RMF</w:t>
      </w:r>
    </w:p>
    <w:p>
      <w:pPr>
        <w:pStyle w:val="ListNumber"/>
        <w:keepLines w:val="1"/>
        <w:keepNext w:val="1"/>
        <w:widowControl w:val="1"/>
      </w:pPr>
      <w:r>
        <w:t>Investigación en métricas de fairness/robustness contextualizadas</w:t>
      </w:r>
    </w:p>
    <w:p>
      <w:pPr>
        <w:pStyle w:val="ListNumber"/>
        <w:keepLines w:val="1"/>
        <w:keepNext w:val="1"/>
        <w:widowControl w:val="1"/>
      </w:pPr>
      <w:r>
        <w:br/>
        <w:t>Publicaciones en venues de referencia (NDSS, USENIX Security, AAAI)</w:t>
        <w:br/>
      </w:r>
    </w:p>
    <w:p>
      <w:pPr>
        <w:pStyle w:val="ListNumber"/>
        <w:keepLines w:val="1"/>
        <w:keepNext w:val="1"/>
        <w:widowControl w:val="1"/>
      </w:pPr>
      <w:r>
        <w:br/>
        <w:t>Proyectos CDTI Alineados</w:t>
        <w:br/>
      </w:r>
    </w:p>
    <w:p>
      <w:pPr>
        <w:pStyle w:val="ListNumber"/>
        <w:keepLines w:val="1"/>
        <w:keepNext w:val="1"/>
        <w:widowControl w:val="1"/>
      </w:pPr>
      <w:r>
        <w:t>"Detección de Data Poisoning en Cadena Suministro IA"</w:t>
      </w:r>
    </w:p>
    <w:p>
      <w:pPr>
        <w:pStyle w:val="ListNumber"/>
        <w:keepLines w:val="1"/>
        <w:keepNext w:val="1"/>
        <w:widowControl w:val="1"/>
      </w:pPr>
      <w:r>
        <w:t>"Auditoría de Model Extraction: Defenses &amp; Detection"</w:t>
      </w:r>
    </w:p>
    <w:p>
      <w:pPr>
        <w:pStyle w:val="ListNumber"/>
        <w:keepLines w:val="1"/>
        <w:keepNext w:val="1"/>
        <w:widowControl w:val="1"/>
      </w:pPr>
      <w:r>
        <w:br/>
        <w:t>"Framework de Resiliencia IA para Infraestructura Crítica"</w:t>
        <w:br/>
      </w:r>
    </w:p>
    <w:p>
      <w:pPr>
        <w:pStyle w:val="ListNumber"/>
        <w:keepLines w:val="1"/>
        <w:keepNext w:val="1"/>
        <w:widowControl w:val="1"/>
      </w:pPr>
      <w:r>
        <w:br/>
        <w:t>Colaboración Internacional</w:t>
        <w:br/>
      </w:r>
    </w:p>
    <w:p>
      <w:pPr>
        <w:pStyle w:val="ListNumber"/>
        <w:keepLines w:val="1"/>
        <w:keepNext w:val="1"/>
        <w:widowControl w:val="1"/>
      </w:pPr>
      <w:r>
        <w:t>Participación en NIST AI Resource Center (AIRC)</w:t>
      </w:r>
    </w:p>
    <w:p>
      <w:pPr>
        <w:pStyle w:val="ListNumber"/>
        <w:keepLines w:val="1"/>
        <w:widowControl w:val="1"/>
      </w:pPr>
      <w:r>
        <w:t>Benchmarking vs. Alemania (BSI), Francia (ANSSI), Holanda (NCSC)</w:t>
      </w:r>
    </w:p>
    <w:p>
      <w:r>
        <w:t>Publicaciones en venues de referencia (NDSS, USENIX Security, AAAI)</w:t>
      </w:r>
    </w:p>
    <w:p>
      <w:r>
        <w:rPr>
          <w:b/>
        </w:rPr>
        <w:t>Proyectos CDTI Alineados</w:t>
      </w:r>
    </w:p>
    <w:p>
      <w:r>
        <w:t>"Framework de Resiliencia IA para Infraestructura Crítica"</w:t>
      </w:r>
    </w:p>
    <w:p>
      <w:r>
        <w:rPr>
          <w:b/>
        </w:rPr>
        <w:t>Colaboración Internacional</w:t>
      </w:r>
    </w:p>
    <w:p>
      <w:pPr>
        <w:pStyle w:val="Heading2"/>
        <w:keepNext/>
        <w:keepLines/>
      </w:pPr>
      <w:r>
        <w:rPr>
          <w:color w:val="0066CC"/>
        </w:rPr>
        <w:t>VIII. CONCLUSIONES Y OUTLOOK 2026-2028</w:t>
      </w:r>
    </w:p>
    <w:p>
      <w:pPr>
        <w:pStyle w:val="Heading3"/>
        <w:keepNext/>
        <w:keepLines/>
      </w:pPr>
      <w:r>
        <w:t>A. Convergencia de Marcos</w:t>
      </w:r>
    </w:p>
    <w:p>
      <w:r>
        <w:rPr>
          <w:b/>
        </w:rPr>
        <w:t>Síntesis Estratégica</w:t>
      </w:r>
      <w:r>
        <w:t xml:space="preserve">: España está bien posicionada para adoptar NIST AI RMF como </w:t>
      </w:r>
      <w:r>
        <w:rPr>
          <w:b/>
        </w:rPr>
        <w:t>herramienta técnica de implementación</w:t>
      </w:r>
      <w:r>
        <w:t xml:space="preserve"> del EU AI Act—no como alternativa, sino como </w:t>
      </w:r>
      <w:r>
        <w:rPr>
          <w:b/>
        </w:rPr>
        <w:t>enabling mechanism</w:t>
      </w:r>
      <w:r>
        <w:t>. La madurez normativa española (AESIA, INCIBE, ENS) proporciona infraestructura institucional.</w:t>
      </w:r>
    </w:p>
    <w:p>
      <w:pPr>
        <w:pStyle w:val="Heading3"/>
        <w:keepNext/>
        <w:keepLines/>
      </w:pPr>
      <w:r>
        <w:t>B. Riesgos Críticos No Mitigados</w:t>
      </w:r>
    </w:p>
    <w:p>
      <w:pPr>
        <w:pStyle w:val="ListNumber"/>
        <w:keepLines w:val="1"/>
        <w:keepNext w:val="1"/>
        <w:widowControl w:val="1"/>
      </w:pPr>
      <w:r>
        <w:t>Velocity Gap: Amenazas de IA evolucionan más rápido que regulación (GenAI, agentic AI)</w:t>
      </w:r>
    </w:p>
    <w:p>
      <w:pPr>
        <w:pStyle w:val="ListNumber"/>
        <w:keepLines w:val="1"/>
        <w:keepNext w:val="1"/>
        <w:widowControl w:val="1"/>
      </w:pPr>
      <w:r>
        <w:t>SME Capacity Gap: 80% de SMEs requieren asistencia para NIST compliance</w:t>
      </w:r>
    </w:p>
    <w:p>
      <w:pPr>
        <w:pStyle w:val="ListNumber"/>
        <w:keepLines w:val="1"/>
        <w:widowControl w:val="1"/>
      </w:pPr>
      <w:r>
        <w:t>Supply Chain Opacity: Malicious ML packages en repositorios público-privados aún no diferenciables confiablemente</w:t>
      </w:r>
    </w:p>
    <w:p>
      <w:pPr>
        <w:pStyle w:val="Heading3"/>
        <w:keepNext/>
        <w:keepLines/>
      </w:pPr>
      <w:r>
        <w:t>C. Oportunidades Diferenciadores</w:t>
      </w:r>
    </w:p>
    <w:p>
      <w:pPr>
        <w:pStyle w:val="ListNumber"/>
        <w:keepLines w:val="1"/>
        <w:keepNext w:val="1"/>
        <w:widowControl w:val="1"/>
      </w:pPr>
      <w:r>
        <w:t>EU Leadership: España puede ser hub de implementación NIST en Europa (benchmark para Francia, Italia)</w:t>
      </w:r>
    </w:p>
    <w:p>
      <w:pPr>
        <w:pStyle w:val="ListNumber"/>
        <w:keepLines w:val="1"/>
        <w:keepNext w:val="1"/>
        <w:widowControl w:val="1"/>
      </w:pPr>
      <w:r>
        <w:t>Digital Sovereignty: Desarrollo de herramientas/metodologías de evaluación AI "made in Spain"</w:t>
      </w:r>
    </w:p>
    <w:p>
      <w:pPr>
        <w:pStyle w:val="ListNumber"/>
        <w:keepLines w:val="1"/>
        <w:widowControl w:val="1"/>
      </w:pPr>
      <w:r>
        <w:t>Sector Crítico Innovation: Modelos de resiliencia IA-driven para energía/transporte/salud</w:t>
      </w:r>
    </w:p>
    <w:p>
      <w:pPr>
        <w:pStyle w:val="Heading3"/>
        <w:keepNext/>
        <w:keepLines/>
      </w:pPr>
      <w:r>
        <w:t>D. Timeline Crítico: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Hito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Feb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AESIA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Entrada completa EU AI Act operativo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Apr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INCIBE/SEDIA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Publicación Guía NIST → EU AI Act 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Jun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Privado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Deadline auto-auditoría sistemas high-risk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Aug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Operadores Todo Sector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Obligación Art. 50 (transparencia usuarios)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Q4 2026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NIST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Finalización Cyber AI Profile; potential v2.0 roadmap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ANEXO: REFERENCIAS PRIMARIAS</w:t>
      </w:r>
    </w:p>
    <w:p>
      <w:r>
        <w:rPr>
          <w:b/>
        </w:rPr>
        <w:t>Documentación Oficial Consultada</w:t>
      </w:r>
      <w:r>
        <w:t>:</w:t>
      </w:r>
      <w:r/>
      <w:r>
        <w:br/>
        <w:t>- NIST AI 100-1 (AI RMF 1.0, enero 2023)</w:t>
      </w:r>
      <w:r/>
      <w:r>
        <w:br/>
        <w:t>- NIST CSWP 29 (CSF 2.0, febrero 2024)</w:t>
      </w:r>
      <w:r/>
      <w:r>
        <w:br/>
        <w:t>- NIST AI 600-1 (GenAI Profile, abril 2024)</w:t>
      </w:r>
      <w:r/>
      <w:r>
        <w:br/>
        <w:t>- NIST Cyber AI Profile (Draft, enero 2026)</w:t>
      </w:r>
      <w:r/>
      <w:r>
        <w:br/>
        <w:t>- Reglamento (UE) 2024/1689 (Ley de IA)</w:t>
      </w:r>
      <w:r/>
      <w:r>
        <w:br/>
        <w:t>- Directiva (UE) 2022/2555 (NIS2)</w:t>
      </w:r>
      <w:r/>
      <w:r>
        <w:br/>
        <w:t>- Anteproyecto Ley Orgánica IA España (11 marzo 2025)</w:t>
      </w:r>
    </w:p>
    <w:p>
      <w:r>
        <w:rPr>
          <w:b/>
        </w:rPr>
        <w:t>Instituciones Españolas</w:t>
      </w:r>
      <w:r>
        <w:t>:</w:t>
      </w:r>
      <w:r/>
      <w:r>
        <w:br/>
        <w:t>- INCIBE (Instituto Nacional Ciberseguridad)</w:t>
      </w:r>
      <w:r/>
      <w:r>
        <w:br/>
        <w:t>- AESIA (Agencia Española Supervisión IA)</w:t>
      </w:r>
      <w:r/>
      <w:r>
        <w:br/>
        <w:t>- SEDIA (Secretaría Estado Digitalización e IA)</w:t>
      </w:r>
      <w:r/>
      <w:r>
        <w:br/>
        <w:t>- CCN-CERT (Centro Criptológico Nacional)</w:t>
      </w:r>
    </w:p>
    <w:p>
      <w:r>
        <w:rPr>
          <w:b/>
        </w:rPr>
        <w:t>Benchmarks Internacionales</w:t>
      </w:r>
      <w:r>
        <w:t>:</w:t>
      </w:r>
      <w:r/>
      <w:r>
        <w:br/>
        <w:t>- NCSI (National Cyber Security Index): España 15º; Holanda 6º; Alemania 7º</w:t>
      </w:r>
      <w:r/>
      <w:r>
        <w:br/>
        <w:t>- IDC/CyberEdge State of DR 2024-2025</w:t>
      </w:r>
      <w:r/>
      <w:r>
        <w:br/>
        <w:t>- Palo Alto Networks Global Incident Response Report 2025</w:t>
      </w:r>
    </w:p>
    <w:p>
      <w:r>
        <w:rPr>
          <w:b/>
        </w:rPr>
        <w:t>Fuentes Académicas &amp; Técnicas</w:t>
      </w:r>
      <w:r>
        <w:t>:</w:t>
      </w:r>
      <w:r/>
      <w:r>
        <w:br/>
        <w:t>- OpenAI Research (LLM Security, Threat Actor Capabilities)</w:t>
      </w:r>
      <w:r/>
      <w:r>
        <w:br/>
        <w:t>- NSA/CISA Joint Security Alerts (2024)</w:t>
      </w:r>
      <w:r/>
      <w:r>
        <w:br/>
        <w:t>- Cloud Security Alliance (AI Security Threats)</w:t>
      </w:r>
      <w:r/>
      <w:r>
        <w:br/>
        <w:t>- Brookings Institution (NIST Framework Policy Analysis)</w:t>
      </w:r>
    </w:p>
    <w:p>
      <w:r>
        <w:rPr>
          <w:b/>
        </w:rPr>
        <w:t>Documento Preparado</w:t>
      </w:r>
      <w:r>
        <w:t>: Enero 2026</w:t>
      </w:r>
      <w:r/>
      <w:r>
        <w:br/>
      </w:r>
      <w:r>
        <w:rPr>
          <w:b/>
        </w:rPr>
        <w:t>Próxima Revisión Recomendada</w:t>
      </w:r>
      <w:r>
        <w:t>: Octubre 2026 (post-entry-en-vigor EU AI Act completo)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