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37582" w14:textId="77777777" w:rsidR="008256E9" w:rsidRDefault="00000000">
      <w:pPr>
        <w:pStyle w:val="Ttulo1"/>
      </w:pPr>
      <w:r>
        <w:rPr>
          <w:color w:val="003366"/>
        </w:rPr>
        <w:t>INFORME EXHAUSTIVO: NIST AI RISK MANAGEMENT FRAMEWORK</w:t>
      </w:r>
    </w:p>
    <w:p w14:paraId="0CBBC812" w14:textId="77777777" w:rsidR="008256E9" w:rsidRPr="00635895" w:rsidRDefault="00000000">
      <w:pPr>
        <w:pStyle w:val="Ttulo2"/>
        <w:rPr>
          <w:lang w:val="es-ES"/>
        </w:rPr>
      </w:pPr>
      <w:r w:rsidRPr="00635895">
        <w:rPr>
          <w:color w:val="0066CC"/>
          <w:lang w:val="es-ES"/>
        </w:rPr>
        <w:t>EXECUTIVE SUMMARY</w:t>
      </w:r>
    </w:p>
    <w:p w14:paraId="1AF71D9A" w14:textId="77777777" w:rsidR="008256E9" w:rsidRPr="00635895" w:rsidRDefault="00000000">
      <w:pPr>
        <w:rPr>
          <w:lang w:val="es-ES"/>
        </w:rPr>
      </w:pPr>
      <w:r w:rsidRPr="00635895">
        <w:rPr>
          <w:lang w:val="es-ES"/>
        </w:rPr>
        <w:t xml:space="preserve">El </w:t>
      </w:r>
      <w:r w:rsidRPr="00635895">
        <w:rPr>
          <w:b/>
          <w:lang w:val="es-ES"/>
        </w:rPr>
        <w:t>NIST Artificial Intelligence Risk Management Framework (AI RMF)</w:t>
      </w:r>
      <w:r w:rsidRPr="00635895">
        <w:rPr>
          <w:lang w:val="es-ES"/>
        </w:rPr>
        <w:t xml:space="preserve"> ha evolucionado desde su lanzamiento en enero 2023[162] hacia un ecosistema integrado de marcos operacionales que abordan IA generativa, seguridad de componentes IA, y defensa resiliente contra ataques basados en IA[72]. Simultáneamente, </w:t>
      </w:r>
      <w:r w:rsidRPr="00635895">
        <w:rPr>
          <w:b/>
          <w:lang w:val="es-ES"/>
        </w:rPr>
        <w:t>España</w:t>
      </w:r>
      <w:r w:rsidRPr="00635895">
        <w:rPr>
          <w:lang w:val="es-ES"/>
        </w:rPr>
        <w:t xml:space="preserve"> acelera su marco regulatorio mediante transposición del Reglamento (UE) 2024/1689[35], implementación de la Directiva NIS2[58], y creación de AESIA (Agencia Española de Supervisión de Inteligencia Artificial)[167][168].</w:t>
      </w:r>
    </w:p>
    <w:p w14:paraId="1537663A" w14:textId="77777777" w:rsidR="008256E9" w:rsidRDefault="00000000">
      <w:pPr>
        <w:pStyle w:val="Ttulo3"/>
      </w:pPr>
      <w:r>
        <w:t>Hallazgos Críticos</w:t>
      </w:r>
    </w:p>
    <w:p w14:paraId="09598B47" w14:textId="77777777" w:rsidR="008256E9" w:rsidRDefault="00000000">
      <w:pPr>
        <w:pStyle w:val="Listaconnmeros"/>
        <w:keepNext/>
        <w:keepLines/>
      </w:pPr>
      <w:r w:rsidRPr="00635895">
        <w:rPr>
          <w:lang w:val="es-ES"/>
        </w:rPr>
        <w:br/>
        <w:t xml:space="preserve">Funcionalidad NIST Operacionalizada: Las cuatro funciones core (GOVERN, MAP, MEASURE, MANAGE) se han expandido con subcategorías formalizadas que especifican roles, métricas cuantificables, y cadencias de revisión[161][163]. </w:t>
      </w:r>
      <w:r>
        <w:t>MEASURE establece siete características de trustworthiness (valid, safe, secure, accountable, explainable, privacy-enhanced, fair)[162][165].</w:t>
      </w:r>
      <w:r>
        <w:br/>
      </w:r>
    </w:p>
    <w:p w14:paraId="4B40CBDA" w14:textId="77777777" w:rsidR="008256E9" w:rsidRPr="00635895" w:rsidRDefault="00000000">
      <w:pPr>
        <w:pStyle w:val="Listaconnmeros"/>
        <w:keepNext/>
        <w:keepLines/>
        <w:rPr>
          <w:lang w:val="es-ES"/>
        </w:rPr>
      </w:pPr>
      <w:r w:rsidRPr="00635895">
        <w:rPr>
          <w:lang w:val="es-ES"/>
        </w:rPr>
        <w:br/>
        <w:t>Vulnerabilidades de Cadena Suministro Amplificadas: 512.847 paquetes malignos detectados (↑156% YoY)[81]; 3,000+ modelos trojanizados en HuggingFace[138]; data poisoning, model extraction, y compromiso CI/CD identificados como vectores prioritarios[139][144][147].</w:t>
      </w:r>
      <w:r w:rsidRPr="00635895">
        <w:rPr>
          <w:lang w:val="es-ES"/>
        </w:rPr>
        <w:br/>
      </w:r>
    </w:p>
    <w:p w14:paraId="0FD958B8" w14:textId="77777777" w:rsidR="008256E9" w:rsidRDefault="00000000">
      <w:pPr>
        <w:pStyle w:val="Listaconnmeros"/>
        <w:keepNext/>
        <w:keepLines/>
      </w:pPr>
      <w:r w:rsidRPr="00635895">
        <w:rPr>
          <w:lang w:val="es-ES"/>
        </w:rPr>
        <w:br/>
        <w:t xml:space="preserve">Capacidad Territorial España: Posición 15º global (NCSI 89.17/100)[56]; 97.348 incidentes en 2024 (↑16.6% vs. 2023)[166]; 31.540 dirigidos a empresas (↑43.2%)[166]; 183.851 sistemas vulnerables identificados[166]. </w:t>
      </w:r>
      <w:r>
        <w:t>Inversión €1.157M 2025-2026[37].</w:t>
      </w:r>
      <w:r>
        <w:br/>
      </w:r>
    </w:p>
    <w:p w14:paraId="202D3B40" w14:textId="77777777" w:rsidR="008256E9" w:rsidRPr="00635895" w:rsidRDefault="00000000">
      <w:pPr>
        <w:pStyle w:val="Listaconnmeros"/>
        <w:keepNext/>
        <w:keepLines/>
        <w:rPr>
          <w:lang w:val="es-ES"/>
        </w:rPr>
      </w:pPr>
      <w:r w:rsidRPr="00635895">
        <w:rPr>
          <w:lang w:val="es-ES"/>
        </w:rPr>
        <w:br/>
        <w:t>Métricas Formalizadas con Flexibilidad Contextual: NIST RMF prescribe marcos de medición pero deliberadamente NO especifica umbrales numéricos, maximizando adaptabilidad[162][165][163].</w:t>
      </w:r>
      <w:r w:rsidRPr="00635895">
        <w:rPr>
          <w:lang w:val="es-ES"/>
        </w:rPr>
        <w:br/>
      </w:r>
    </w:p>
    <w:p w14:paraId="0246C6C4" w14:textId="77777777" w:rsidR="008256E9" w:rsidRPr="00635895" w:rsidRDefault="00000000">
      <w:pPr>
        <w:pStyle w:val="Listaconnmeros"/>
        <w:keepLines/>
        <w:rPr>
          <w:lang w:val="es-ES"/>
        </w:rPr>
      </w:pPr>
      <w:r w:rsidRPr="00635895">
        <w:rPr>
          <w:lang w:val="es-ES"/>
        </w:rPr>
        <w:br/>
        <w:t>Integración CSF 2.0: NIST CSF 2.0 (febrero 2024)[77] e integración explícita de IA[77]; Cyber AI Profile (enero 2026, draft) con tres ejes (Secure, Defend, Thwart)[72][80].</w:t>
      </w:r>
      <w:r w:rsidRPr="00635895">
        <w:rPr>
          <w:lang w:val="es-ES"/>
        </w:rPr>
        <w:br/>
      </w:r>
    </w:p>
    <w:p w14:paraId="70440FBD" w14:textId="77777777" w:rsidR="008256E9" w:rsidRDefault="00000000">
      <w:r w:rsidRPr="00635895">
        <w:rPr>
          <w:b/>
          <w:lang w:val="es-ES"/>
        </w:rPr>
        <w:t>Funcionalidad NIST Operacionalizada</w:t>
      </w:r>
      <w:r w:rsidRPr="00635895">
        <w:rPr>
          <w:lang w:val="es-ES"/>
        </w:rPr>
        <w:t xml:space="preserve">: Las cuatro funciones core (GOVERN, MAP, MEASURE, MANAGE) se han expandido con subcategorías formalizadas que especifican roles, métricas </w:t>
      </w:r>
      <w:r w:rsidRPr="00635895">
        <w:rPr>
          <w:lang w:val="es-ES"/>
        </w:rPr>
        <w:lastRenderedPageBreak/>
        <w:t xml:space="preserve">cuantificables, y cadencias de revisión[161][163]. </w:t>
      </w:r>
      <w:r>
        <w:t>MEASURE establece siete características de trustworthiness (valid, safe, secure, accountable, explainable, privacy-enhanced, fair)[162][165].</w:t>
      </w:r>
    </w:p>
    <w:p w14:paraId="7E1CAAE3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Vulnerabilidades de Cadena Suministro Amplificadas</w:t>
      </w:r>
      <w:r w:rsidRPr="00635895">
        <w:rPr>
          <w:lang w:val="es-ES"/>
        </w:rPr>
        <w:t>: 512.847 paquetes malignos detectados (↑156% YoY)[81]; 3,000+ modelos trojanizados en HuggingFace[138]; data poisoning, model extraction, y compromiso CI/CD identificados como vectores prioritarios[139][144][147].</w:t>
      </w:r>
    </w:p>
    <w:p w14:paraId="2CD4C685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Capacidad Territorial España</w:t>
      </w:r>
      <w:r w:rsidRPr="00635895">
        <w:rPr>
          <w:lang w:val="es-ES"/>
        </w:rPr>
        <w:t>: Posición 15º global (NCSI 89.17/100)[56]; 97.348 incidentes en 2024 (↑16.6% vs. 2023)[166]; 31.540 dirigidos a empresas (↑43.2%)[166]; 183.851 sistemas vulnerables identificados[166]. Inversión €1.157M 2025-2026[37].</w:t>
      </w:r>
    </w:p>
    <w:p w14:paraId="79D0A020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Métricas Formalizadas con Flexibilidad Contextual</w:t>
      </w:r>
      <w:r w:rsidRPr="00635895">
        <w:rPr>
          <w:lang w:val="es-ES"/>
        </w:rPr>
        <w:t>: NIST RMF prescribe marcos de medición pero deliberadamente NO especifica umbrales numéricos, maximizando adaptabilidad[162][165][163].</w:t>
      </w:r>
    </w:p>
    <w:p w14:paraId="539BD439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Integración CSF 2.0</w:t>
      </w:r>
      <w:r w:rsidRPr="00635895">
        <w:rPr>
          <w:lang w:val="es-ES"/>
        </w:rPr>
        <w:t>: NIST CSF 2.0 (febrero 2024)[77] e integración explícita de IA[77]; Cyber AI Profile (enero 2026, draft) con tres ejes (Secure, Defend, Thwart)[72][80].</w:t>
      </w:r>
    </w:p>
    <w:p w14:paraId="1C297E6D" w14:textId="77777777" w:rsidR="008256E9" w:rsidRPr="00635895" w:rsidRDefault="00000000">
      <w:pPr>
        <w:pStyle w:val="Ttulo2"/>
        <w:rPr>
          <w:lang w:val="es-ES"/>
        </w:rPr>
      </w:pPr>
      <w:r w:rsidRPr="00635895">
        <w:rPr>
          <w:color w:val="0066CC"/>
          <w:lang w:val="es-ES"/>
        </w:rPr>
        <w:t>I. EVOLUCIÓN NIST AI RMF: TIMELINE Y CICLO FRAMEWORK (2023-2026)</w:t>
      </w:r>
    </w:p>
    <w:p w14:paraId="7EE3EEC4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A. Versiones Publicadas y Roadmap Oficial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538"/>
        <w:gridCol w:w="1742"/>
        <w:gridCol w:w="2766"/>
        <w:gridCol w:w="1797"/>
        <w:gridCol w:w="1733"/>
      </w:tblGrid>
      <w:tr w:rsidR="008256E9" w14:paraId="471B09CE" w14:textId="77777777" w:rsidTr="00825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033CC"/>
          </w:tcPr>
          <w:p w14:paraId="094BC6DF" w14:textId="77777777" w:rsidR="008256E9" w:rsidRDefault="00000000">
            <w:pPr>
              <w:keepNext/>
              <w:keepLines/>
            </w:pPr>
            <w:r>
              <w:rPr>
                <w:color w:val="FFFFFF"/>
              </w:rPr>
              <w:t>Versión</w:t>
            </w:r>
          </w:p>
        </w:tc>
        <w:tc>
          <w:tcPr>
            <w:tcW w:w="1872" w:type="dxa"/>
            <w:shd w:val="clear" w:color="auto" w:fill="0033CC"/>
          </w:tcPr>
          <w:p w14:paraId="3B19219E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Fecha</w:t>
            </w:r>
          </w:p>
        </w:tc>
        <w:tc>
          <w:tcPr>
            <w:tcW w:w="1872" w:type="dxa"/>
            <w:shd w:val="clear" w:color="auto" w:fill="0033CC"/>
          </w:tcPr>
          <w:p w14:paraId="4E2B849D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Característica Clave</w:t>
            </w:r>
          </w:p>
        </w:tc>
        <w:tc>
          <w:tcPr>
            <w:tcW w:w="1872" w:type="dxa"/>
            <w:shd w:val="clear" w:color="auto" w:fill="0033CC"/>
          </w:tcPr>
          <w:p w14:paraId="768B492F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Referencias</w:t>
            </w:r>
          </w:p>
        </w:tc>
        <w:tc>
          <w:tcPr>
            <w:tcW w:w="1872" w:type="dxa"/>
            <w:shd w:val="clear" w:color="auto" w:fill="0033CC"/>
          </w:tcPr>
          <w:p w14:paraId="58837B38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Estado</w:t>
            </w:r>
          </w:p>
        </w:tc>
      </w:tr>
      <w:tr w:rsidR="008256E9" w14:paraId="461ED6EE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540457" w14:textId="77777777" w:rsidR="008256E9" w:rsidRDefault="00000000">
            <w:pPr>
              <w:keepNext/>
              <w:keepLines/>
            </w:pPr>
            <w:r>
              <w:t>AI RMF 1.0</w:t>
            </w:r>
          </w:p>
        </w:tc>
        <w:tc>
          <w:tcPr>
            <w:tcW w:w="1872" w:type="dxa"/>
          </w:tcPr>
          <w:p w14:paraId="79377C02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Enero 2023[162]</w:t>
            </w:r>
          </w:p>
        </w:tc>
        <w:tc>
          <w:tcPr>
            <w:tcW w:w="1872" w:type="dxa"/>
          </w:tcPr>
          <w:p w14:paraId="609D430C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funciones (GOVERN, MAP, MEASURE, MANAGE); 7 características trustworthiness[162][165]</w:t>
            </w:r>
          </w:p>
        </w:tc>
        <w:tc>
          <w:tcPr>
            <w:tcW w:w="1872" w:type="dxa"/>
          </w:tcPr>
          <w:p w14:paraId="0C2219F9" w14:textId="77777777" w:rsidR="008256E9" w:rsidRPr="0063589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35895">
              <w:rPr>
                <w:lang w:val="es-ES"/>
              </w:rPr>
              <w:t>Referencia técnica base para regulaciones futuras</w:t>
            </w:r>
          </w:p>
        </w:tc>
        <w:tc>
          <w:tcPr>
            <w:tcW w:w="1872" w:type="dxa"/>
          </w:tcPr>
          <w:p w14:paraId="134B2D8B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Operativo</w:t>
            </w:r>
          </w:p>
        </w:tc>
      </w:tr>
      <w:tr w:rsidR="008256E9" w14:paraId="7C21BBDD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285376" w14:textId="77777777" w:rsidR="008256E9" w:rsidRDefault="00000000">
            <w:pPr>
              <w:keepNext/>
              <w:keepLines/>
            </w:pPr>
            <w:r>
              <w:t>NIST CSF 2.0</w:t>
            </w:r>
          </w:p>
        </w:tc>
        <w:tc>
          <w:tcPr>
            <w:tcW w:w="1872" w:type="dxa"/>
          </w:tcPr>
          <w:p w14:paraId="2E169808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Febrero 2024[77]</w:t>
            </w:r>
          </w:p>
        </w:tc>
        <w:tc>
          <w:tcPr>
            <w:tcW w:w="1872" w:type="dxa"/>
          </w:tcPr>
          <w:p w14:paraId="33D32D4B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funciones (+ IDENTIFY, DETECT, RESPOND, RECOVER); integración AI explícita[77]</w:t>
            </w:r>
          </w:p>
        </w:tc>
        <w:tc>
          <w:tcPr>
            <w:tcW w:w="1872" w:type="dxa"/>
          </w:tcPr>
          <w:p w14:paraId="477D6D8A" w14:textId="77777777" w:rsidR="008256E9" w:rsidRPr="00635895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635895">
              <w:rPr>
                <w:lang w:val="es-ES"/>
              </w:rPr>
              <w:t>Ciberseguridad crítica + resiliencia; guidance para ENS</w:t>
            </w:r>
          </w:p>
        </w:tc>
        <w:tc>
          <w:tcPr>
            <w:tcW w:w="1872" w:type="dxa"/>
          </w:tcPr>
          <w:p w14:paraId="31E01210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Operativo</w:t>
            </w:r>
          </w:p>
        </w:tc>
      </w:tr>
      <w:tr w:rsidR="008256E9" w14:paraId="1FD04D23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530F523" w14:textId="77777777" w:rsidR="008256E9" w:rsidRDefault="00000000">
            <w:pPr>
              <w:keepNext/>
              <w:keepLines/>
            </w:pPr>
            <w:r>
              <w:t>GenAI Profile (AI 600-1)</w:t>
            </w:r>
          </w:p>
        </w:tc>
        <w:tc>
          <w:tcPr>
            <w:tcW w:w="1872" w:type="dxa"/>
          </w:tcPr>
          <w:p w14:paraId="3239101D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Abril 2024[88]</w:t>
            </w:r>
          </w:p>
        </w:tc>
        <w:tc>
          <w:tcPr>
            <w:tcW w:w="1872" w:type="dxa"/>
          </w:tcPr>
          <w:p w14:paraId="522BFE8D" w14:textId="77777777" w:rsidR="008256E9" w:rsidRPr="0063589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35895">
              <w:rPr>
                <w:lang w:val="es-ES"/>
              </w:rPr>
              <w:t>400+ acciones mitigación LLM/GenAI[82]; riesgos amplificados documentados[82]</w:t>
            </w:r>
          </w:p>
        </w:tc>
        <w:tc>
          <w:tcPr>
            <w:tcW w:w="1872" w:type="dxa"/>
          </w:tcPr>
          <w:p w14:paraId="7CD15524" w14:textId="77777777" w:rsidR="008256E9" w:rsidRPr="00635895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35895">
              <w:rPr>
                <w:lang w:val="es-ES"/>
              </w:rPr>
              <w:t>Futuras regulaciones GenAI; orientación SOCs[74]</w:t>
            </w:r>
          </w:p>
        </w:tc>
        <w:tc>
          <w:tcPr>
            <w:tcW w:w="1872" w:type="dxa"/>
          </w:tcPr>
          <w:p w14:paraId="05BC31D4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Operativo</w:t>
            </w:r>
          </w:p>
        </w:tc>
      </w:tr>
      <w:tr w:rsidR="008256E9" w14:paraId="0C5AC14F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2BF742" w14:textId="77777777" w:rsidR="008256E9" w:rsidRDefault="00000000">
            <w:pPr>
              <w:keepLines/>
            </w:pPr>
            <w:r>
              <w:t>Cyber AI Profile (Draft)</w:t>
            </w:r>
          </w:p>
        </w:tc>
        <w:tc>
          <w:tcPr>
            <w:tcW w:w="1872" w:type="dxa"/>
          </w:tcPr>
          <w:p w14:paraId="52B953A6" w14:textId="77777777" w:rsidR="008256E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Enero 2026[72][80]</w:t>
            </w:r>
          </w:p>
        </w:tc>
        <w:tc>
          <w:tcPr>
            <w:tcW w:w="1872" w:type="dxa"/>
          </w:tcPr>
          <w:p w14:paraId="2ACAFBBF" w14:textId="77777777" w:rsidR="008256E9" w:rsidRPr="00635895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635895">
              <w:rPr>
                <w:lang w:val="es-ES"/>
              </w:rPr>
              <w:t>Secure/Defend/Thwart; integración ciberseguridad-IA[72][74][164]</w:t>
            </w:r>
          </w:p>
        </w:tc>
        <w:tc>
          <w:tcPr>
            <w:tcW w:w="1872" w:type="dxa"/>
          </w:tcPr>
          <w:p w14:paraId="48288C34" w14:textId="77777777" w:rsidR="008256E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Guidance operativa NIS2 + EU AI Act[80][164]</w:t>
            </w:r>
          </w:p>
        </w:tc>
        <w:tc>
          <w:tcPr>
            <w:tcW w:w="1872" w:type="dxa"/>
          </w:tcPr>
          <w:p w14:paraId="56977B1C" w14:textId="77777777" w:rsidR="008256E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Draft (comentarios hasta 30 enero 2026)</w:t>
            </w:r>
          </w:p>
        </w:tc>
      </w:tr>
    </w:tbl>
    <w:p w14:paraId="10B6A8E7" w14:textId="77777777" w:rsidR="008256E9" w:rsidRDefault="008256E9"/>
    <w:p w14:paraId="4A7A580B" w14:textId="77777777" w:rsidR="008256E9" w:rsidRDefault="00000000">
      <w:pPr>
        <w:pStyle w:val="Ttulo3"/>
      </w:pPr>
      <w:r>
        <w:lastRenderedPageBreak/>
        <w:t>B. Drivers de Actualización</w:t>
      </w:r>
    </w:p>
    <w:p w14:paraId="52908BB1" w14:textId="77777777" w:rsidR="008256E9" w:rsidRPr="00635895" w:rsidRDefault="00000000">
      <w:pPr>
        <w:pStyle w:val="Listaconnmeros"/>
        <w:keepNext/>
        <w:keepLines/>
        <w:rPr>
          <w:lang w:val="es-ES"/>
        </w:rPr>
      </w:pPr>
      <w:r w:rsidRPr="00635895">
        <w:rPr>
          <w:lang w:val="es-ES"/>
        </w:rPr>
        <w:t>Presión Regulatoria EU AI Act: Operacionalización Art. 28-99 (Q2 2026) requiere alignment NIST → requisitos legales[35][49]</w:t>
      </w:r>
    </w:p>
    <w:p w14:paraId="0E4BDC25" w14:textId="77777777" w:rsidR="008256E9" w:rsidRDefault="00000000">
      <w:pPr>
        <w:pStyle w:val="Listaconnmeros"/>
        <w:keepNext/>
        <w:keepLines/>
      </w:pPr>
      <w:r>
        <w:t>GenAI Mainstreaming: Riesgos únicos (hallucinations, jailbreaking, IP theft, token leakage) no previstos en RMF 1.0[82][93]</w:t>
      </w:r>
    </w:p>
    <w:p w14:paraId="0F493EED" w14:textId="77777777" w:rsidR="008256E9" w:rsidRDefault="00000000">
      <w:pPr>
        <w:pStyle w:val="Listaconnmeros"/>
        <w:keepNext/>
        <w:keepLines/>
      </w:pPr>
      <w:r>
        <w:t>Supply Chain Attacks: NSA + OpenAI (abril 2024) documentan APT usando ChatGPT para malware development[85][86]</w:t>
      </w:r>
    </w:p>
    <w:p w14:paraId="07FFC884" w14:textId="77777777" w:rsidR="008256E9" w:rsidRDefault="00000000">
      <w:pPr>
        <w:pStyle w:val="Listaconnmeros"/>
        <w:keepLines/>
      </w:pPr>
      <w:r>
        <w:t>C-Suite Mandate: 67% large orgs referencia NIST en governance policies[153]</w:t>
      </w:r>
    </w:p>
    <w:p w14:paraId="7ABC2F30" w14:textId="77777777" w:rsidR="008256E9" w:rsidRDefault="00000000">
      <w:pPr>
        <w:pStyle w:val="Ttulo2"/>
      </w:pPr>
      <w:r>
        <w:rPr>
          <w:color w:val="0066CC"/>
        </w:rPr>
        <w:t>II. FUNCIONES NIST OPERACIONALIZADAS: GOVERN-MAP-MEASURE-MANAGE</w:t>
      </w:r>
    </w:p>
    <w:p w14:paraId="206B5055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A. GOVERN: Infraestructura Organizacional de Riesgo IA</w:t>
      </w:r>
    </w:p>
    <w:p w14:paraId="4FF58526" w14:textId="77777777" w:rsidR="008256E9" w:rsidRPr="00635895" w:rsidRDefault="00000000">
      <w:pPr>
        <w:pStyle w:val="Ttulo4"/>
        <w:rPr>
          <w:lang w:val="es-ES"/>
        </w:rPr>
      </w:pPr>
      <w:r w:rsidRPr="00635895">
        <w:rPr>
          <w:lang w:val="es-ES"/>
        </w:rPr>
        <w:t>Subcategorías Formalizadas (GOVERN 1-6)[161]</w:t>
      </w:r>
    </w:p>
    <w:p w14:paraId="1901EC75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GOVERN 1: Políticas, Procesos, Procedimientos</w:t>
      </w:r>
      <w:r w:rsidRPr="00635895">
        <w:rPr>
          <w:lang w:val="es-ES"/>
        </w:rPr>
        <w:t>[161]</w:t>
      </w:r>
      <w:r w:rsidRPr="00635895">
        <w:rPr>
          <w:lang w:val="es-ES"/>
        </w:rPr>
        <w:br/>
        <w:t>- Mapeo formal requisitos legales (GDPR, LOPD, EU AI Act Art. 28-99)[161]</w:t>
      </w:r>
      <w:r w:rsidRPr="00635895">
        <w:rPr>
          <w:lang w:val="es-ES"/>
        </w:rPr>
        <w:br/>
        <w:t>- Integración características trustworthiness en ciclo completo[111][161]</w:t>
      </w:r>
      <w:r w:rsidRPr="00635895">
        <w:rPr>
          <w:lang w:val="es-ES"/>
        </w:rPr>
        <w:br/>
        <w:t>- Determinación apetito riesgo mediante escalas RAG o simulaciones[111][161]</w:t>
      </w:r>
      <w:r w:rsidRPr="00635895">
        <w:rPr>
          <w:lang w:val="es-ES"/>
        </w:rPr>
        <w:br/>
        <w:t>- Inventario modelos, políticas decommissioning, whistleblower procedures[111]</w:t>
      </w:r>
    </w:p>
    <w:p w14:paraId="79D8FC53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GOVERN 2: Accountability Structures</w:t>
      </w:r>
      <w:r w:rsidRPr="00635895">
        <w:rPr>
          <w:lang w:val="es-ES"/>
        </w:rPr>
        <w:t>[161]</w:t>
      </w:r>
      <w:r w:rsidRPr="00635895">
        <w:rPr>
          <w:lang w:val="es-ES"/>
        </w:rPr>
        <w:br/>
        <w:t>- RACI matrix: Executive Sponsor, AI Risk Committee, Product Owners, Model Stewards[111][161]</w:t>
      </w:r>
      <w:r w:rsidRPr="00635895">
        <w:rPr>
          <w:lang w:val="es-ES"/>
        </w:rPr>
        <w:br/>
        <w:t>- Independencia: Separación desarrollo/testing; prevención conflictos[161]</w:t>
      </w:r>
      <w:r w:rsidRPr="00635895">
        <w:rPr>
          <w:lang w:val="es-ES"/>
        </w:rPr>
        <w:br/>
        <w:t>- Capacitación mandatoria: Leyes, riesgos, políticas trustworthiness[161]</w:t>
      </w:r>
      <w:r w:rsidRPr="00635895">
        <w:rPr>
          <w:lang w:val="es-ES"/>
        </w:rPr>
        <w:br/>
        <w:t>- Escalada de riesgos hasta Board level[161]</w:t>
      </w:r>
    </w:p>
    <w:p w14:paraId="1454E25C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GOVERN 3: Diversity, Equity, Inclusion, Accessibility (DEIA)</w:t>
      </w:r>
      <w:r w:rsidRPr="00635895">
        <w:rPr>
          <w:lang w:val="es-ES"/>
        </w:rPr>
        <w:t>[161]</w:t>
      </w:r>
      <w:r w:rsidRPr="00635895">
        <w:rPr>
          <w:lang w:val="es-ES"/>
        </w:rPr>
        <w:br/>
        <w:t>- Equipos interdisciplinarios (legal, psicología, ingeniería, ciencias sociales)[161]</w:t>
      </w:r>
      <w:r w:rsidRPr="00635895">
        <w:rPr>
          <w:lang w:val="es-ES"/>
        </w:rPr>
        <w:br/>
        <w:t>- Diferenciación roles en configuraciones humano-IA (oversight vs. operación)[161]</w:t>
      </w:r>
      <w:r w:rsidRPr="00635895">
        <w:rPr>
          <w:lang w:val="es-ES"/>
        </w:rPr>
        <w:br/>
        <w:t>- Espacios psicológicamente seguros para cuestionamiento sin represalias[161]</w:t>
      </w:r>
    </w:p>
    <w:p w14:paraId="177C8D9C" w14:textId="77777777" w:rsidR="008256E9" w:rsidRDefault="00000000">
      <w:r>
        <w:rPr>
          <w:b/>
        </w:rPr>
        <w:t>GOVERN 4-6</w:t>
      </w:r>
      <w:r>
        <w:t>: Cultura riesgo, engagement stakeholders, gestión third-party[161]</w:t>
      </w:r>
    </w:p>
    <w:p w14:paraId="20515744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B. MAP: Contexto + Impacto + Caracterización Riesgo (5 categorías)[116][161]</w:t>
      </w:r>
    </w:p>
    <w:p w14:paraId="6B8D8B04" w14:textId="77777777" w:rsidR="008256E9" w:rsidRDefault="00000000">
      <w:pPr>
        <w:pStyle w:val="Ttulo4"/>
      </w:pPr>
      <w:r>
        <w:t>MAP 1: Context Established &amp; Understood[161]</w:t>
      </w:r>
    </w:p>
    <w:p w14:paraId="301B04F3" w14:textId="77777777" w:rsidR="008256E9" w:rsidRPr="00635895" w:rsidRDefault="00000000">
      <w:pPr>
        <w:pStyle w:val="Listaconvietas"/>
        <w:keepNext/>
        <w:keepLines/>
        <w:rPr>
          <w:lang w:val="es-ES"/>
        </w:rPr>
      </w:pPr>
      <w:r w:rsidRPr="00635895">
        <w:rPr>
          <w:lang w:val="es-ES"/>
        </w:rPr>
        <w:t>Propósito intencional documentado + beneficial outcomes[161]</w:t>
      </w:r>
    </w:p>
    <w:p w14:paraId="1799B8B8" w14:textId="77777777" w:rsidR="008256E9" w:rsidRPr="00635895" w:rsidRDefault="00000000">
      <w:pPr>
        <w:pStyle w:val="Listaconvietas"/>
        <w:keepNext/>
        <w:keepLines/>
        <w:rPr>
          <w:lang w:val="es-ES"/>
        </w:rPr>
      </w:pPr>
      <w:r w:rsidRPr="00635895">
        <w:rPr>
          <w:lang w:val="es-ES"/>
        </w:rPr>
        <w:t>Stakeholder impact mapping (usuarios finales, operadores, comunidades, reguladores)[161]</w:t>
      </w:r>
    </w:p>
    <w:p w14:paraId="7F502788" w14:textId="77777777" w:rsidR="008256E9" w:rsidRDefault="00000000">
      <w:pPr>
        <w:pStyle w:val="Listaconvietas"/>
        <w:keepNext/>
        <w:keepLines/>
      </w:pPr>
      <w:r>
        <w:t>Alternativas no-IA evaluadas como potentially more trustworthy[161]</w:t>
      </w:r>
    </w:p>
    <w:p w14:paraId="4109918E" w14:textId="77777777" w:rsidR="008256E9" w:rsidRPr="00635895" w:rsidRDefault="00000000">
      <w:pPr>
        <w:pStyle w:val="Listaconvietas"/>
        <w:keepLines/>
        <w:rPr>
          <w:lang w:val="es-ES"/>
        </w:rPr>
      </w:pPr>
      <w:r w:rsidRPr="00635895">
        <w:rPr>
          <w:lang w:val="es-ES"/>
        </w:rPr>
        <w:t>Implicaciones legales (GDPR, anti-discriminación, data retention)[161]</w:t>
      </w:r>
    </w:p>
    <w:p w14:paraId="2721C5E3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Métrica de Completitud</w:t>
      </w:r>
      <w:r w:rsidRPr="00635895">
        <w:rPr>
          <w:lang w:val="es-ES"/>
        </w:rPr>
        <w:t>: (Contexto documentado / Contexto requerido) × 100% → Target ≥95%[116]</w:t>
      </w:r>
    </w:p>
    <w:p w14:paraId="55B14C03" w14:textId="77777777" w:rsidR="008256E9" w:rsidRDefault="00000000">
      <w:pPr>
        <w:pStyle w:val="Ttulo4"/>
      </w:pPr>
      <w:r>
        <w:lastRenderedPageBreak/>
        <w:t>MAP 2: Categorization Performed[161]</w:t>
      </w:r>
    </w:p>
    <w:p w14:paraId="0DBDF1EC" w14:textId="77777777" w:rsidR="008256E9" w:rsidRPr="00635895" w:rsidRDefault="00000000">
      <w:pPr>
        <w:pStyle w:val="Listaconvietas"/>
        <w:keepNext/>
        <w:keepLines/>
        <w:rPr>
          <w:lang w:val="es-ES"/>
        </w:rPr>
      </w:pPr>
      <w:r w:rsidRPr="00635895">
        <w:rPr>
          <w:lang w:val="es-ES"/>
        </w:rPr>
        <w:t>Tarea técnica definida sin ambigüedad[161]</w:t>
      </w:r>
    </w:p>
    <w:p w14:paraId="4AF6B49D" w14:textId="77777777" w:rsidR="008256E9" w:rsidRPr="00635895" w:rsidRDefault="00000000">
      <w:pPr>
        <w:pStyle w:val="Listaconvietas"/>
        <w:keepNext/>
        <w:keepLines/>
        <w:rPr>
          <w:lang w:val="es-ES"/>
        </w:rPr>
      </w:pPr>
      <w:r w:rsidRPr="00635895">
        <w:rPr>
          <w:lang w:val="es-ES"/>
        </w:rPr>
        <w:t>Límites conocimiento documentados (edge cases, OOD scenarios)[161]</w:t>
      </w:r>
    </w:p>
    <w:p w14:paraId="757BC89E" w14:textId="77777777" w:rsidR="008256E9" w:rsidRPr="00635895" w:rsidRDefault="00000000">
      <w:pPr>
        <w:pStyle w:val="Listaconvietas"/>
        <w:keepNext/>
        <w:keepLines/>
        <w:rPr>
          <w:lang w:val="es-ES"/>
        </w:rPr>
      </w:pPr>
      <w:r w:rsidRPr="00635895">
        <w:rPr>
          <w:lang w:val="es-ES"/>
        </w:rPr>
        <w:t>Configuración humano-IA clarificada (% automation vs. human-in-loop)[111]</w:t>
      </w:r>
    </w:p>
    <w:p w14:paraId="28CC5095" w14:textId="77777777" w:rsidR="008256E9" w:rsidRDefault="00000000">
      <w:pPr>
        <w:pStyle w:val="Listaconvietas"/>
        <w:keepLines/>
      </w:pPr>
      <w:r>
        <w:t>Dependencias upstream/downstream identificadas[161]</w:t>
      </w:r>
    </w:p>
    <w:p w14:paraId="413C2F48" w14:textId="77777777" w:rsidR="008256E9" w:rsidRPr="00635895" w:rsidRDefault="00000000">
      <w:pPr>
        <w:pStyle w:val="Ttulo4"/>
        <w:rPr>
          <w:lang w:val="es-ES"/>
        </w:rPr>
      </w:pPr>
      <w:r w:rsidRPr="00635895">
        <w:rPr>
          <w:lang w:val="es-ES"/>
        </w:rPr>
        <w:t>MAP 3-5: Capacidades, beneficios, riesgos priorizados, caracterización impacto[161]</w:t>
      </w:r>
    </w:p>
    <w:p w14:paraId="3CEEBE1D" w14:textId="77777777" w:rsidR="008256E9" w:rsidRDefault="00000000">
      <w:r>
        <w:rPr>
          <w:b/>
        </w:rPr>
        <w:t>Red Teaming Participativo</w:t>
      </w:r>
      <w:r>
        <w:t>: Stakeholders + comunidades impactadas identifican harm scenarios[112]</w:t>
      </w:r>
    </w:p>
    <w:p w14:paraId="2E003A06" w14:textId="77777777" w:rsidR="008256E9" w:rsidRDefault="00000000">
      <w:pPr>
        <w:pStyle w:val="Ttulo3"/>
      </w:pPr>
      <w:r>
        <w:t>C. MEASURE: Operacionalización de Trustworthiness (7 categorías)[163][165]</w:t>
      </w:r>
    </w:p>
    <w:p w14:paraId="59BEC9B3" w14:textId="77777777" w:rsidR="008256E9" w:rsidRDefault="00000000">
      <w:pPr>
        <w:pStyle w:val="Ttulo4"/>
      </w:pPr>
      <w:r>
        <w:t>Las Siete Características Trustworthiness[162][165]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256E9" w14:paraId="354F0D05" w14:textId="77777777" w:rsidTr="00825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74CC9D9" w14:textId="77777777" w:rsidR="008256E9" w:rsidRDefault="00000000">
            <w:pPr>
              <w:keepNext/>
              <w:keepLines/>
            </w:pPr>
            <w:r>
              <w:rPr>
                <w:color w:val="FFFFFF"/>
              </w:rPr>
              <w:t>Característica</w:t>
            </w:r>
          </w:p>
        </w:tc>
        <w:tc>
          <w:tcPr>
            <w:tcW w:w="2340" w:type="dxa"/>
            <w:shd w:val="clear" w:color="auto" w:fill="0033CC"/>
          </w:tcPr>
          <w:p w14:paraId="27E839F0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Métrica Primaria</w:t>
            </w:r>
          </w:p>
        </w:tc>
        <w:tc>
          <w:tcPr>
            <w:tcW w:w="2340" w:type="dxa"/>
            <w:shd w:val="clear" w:color="auto" w:fill="0033CC"/>
          </w:tcPr>
          <w:p w14:paraId="13037732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Umbral NIST Sugerido</w:t>
            </w:r>
          </w:p>
        </w:tc>
        <w:tc>
          <w:tcPr>
            <w:tcW w:w="2340" w:type="dxa"/>
            <w:shd w:val="clear" w:color="auto" w:fill="0033CC"/>
          </w:tcPr>
          <w:p w14:paraId="070065D3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Referencias</w:t>
            </w:r>
          </w:p>
        </w:tc>
      </w:tr>
      <w:tr w:rsidR="008256E9" w14:paraId="13F69649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4B34997" w14:textId="77777777" w:rsidR="008256E9" w:rsidRDefault="00000000">
            <w:pPr>
              <w:keepNext/>
              <w:keepLines/>
            </w:pPr>
            <w:r>
              <w:t>Valid &amp; Reliable</w:t>
            </w:r>
          </w:p>
        </w:tc>
        <w:tc>
          <w:tcPr>
            <w:tcW w:w="2340" w:type="dxa"/>
          </w:tcPr>
          <w:p w14:paraId="5D1AF85A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Precision, Recall, F1-score, AUC-ROC</w:t>
            </w:r>
          </w:p>
        </w:tc>
        <w:tc>
          <w:tcPr>
            <w:tcW w:w="2340" w:type="dxa"/>
          </w:tcPr>
          <w:p w14:paraId="6EB66E02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Precision ≥0.95 global; disparity &lt;5%</w:t>
            </w:r>
          </w:p>
        </w:tc>
        <w:tc>
          <w:tcPr>
            <w:tcW w:w="2340" w:type="dxa"/>
          </w:tcPr>
          <w:p w14:paraId="67A73058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[162][165][16]</w:t>
            </w:r>
          </w:p>
        </w:tc>
      </w:tr>
      <w:tr w:rsidR="008256E9" w14:paraId="19C277FB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F01AB9" w14:textId="77777777" w:rsidR="008256E9" w:rsidRDefault="00000000">
            <w:pPr>
              <w:keepNext/>
              <w:keepLines/>
            </w:pPr>
            <w:r>
              <w:t>Safe</w:t>
            </w:r>
          </w:p>
        </w:tc>
        <w:tc>
          <w:tcPr>
            <w:tcW w:w="2340" w:type="dxa"/>
          </w:tcPr>
          <w:p w14:paraId="173E31DB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MTTR (Mean Time To Recover)</w:t>
            </w:r>
          </w:p>
        </w:tc>
        <w:tc>
          <w:tcPr>
            <w:tcW w:w="2340" w:type="dxa"/>
          </w:tcPr>
          <w:p w14:paraId="480B61C5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MTTR &lt;15 min, residual risk &lt;10%</w:t>
            </w:r>
          </w:p>
        </w:tc>
        <w:tc>
          <w:tcPr>
            <w:tcW w:w="2340" w:type="dxa"/>
          </w:tcPr>
          <w:p w14:paraId="77B299C8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[162][165]</w:t>
            </w:r>
          </w:p>
        </w:tc>
      </w:tr>
      <w:tr w:rsidR="008256E9" w14:paraId="502B605D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481A86E" w14:textId="77777777" w:rsidR="008256E9" w:rsidRDefault="00000000">
            <w:pPr>
              <w:keepNext/>
              <w:keepLines/>
            </w:pPr>
            <w:r>
              <w:t>Secure &amp; Resilient</w:t>
            </w:r>
          </w:p>
        </w:tc>
        <w:tc>
          <w:tcPr>
            <w:tcW w:w="2340" w:type="dxa"/>
          </w:tcPr>
          <w:p w14:paraId="0D277269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extraction detection rate, MTTD anomalías</w:t>
            </w:r>
          </w:p>
        </w:tc>
        <w:tc>
          <w:tcPr>
            <w:tcW w:w="2340" w:type="dxa"/>
          </w:tcPr>
          <w:p w14:paraId="3D5CCF95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Detection &gt;95%; MTTD &lt;1h; breach &lt;0.1/1000</w:t>
            </w:r>
          </w:p>
        </w:tc>
        <w:tc>
          <w:tcPr>
            <w:tcW w:w="2340" w:type="dxa"/>
          </w:tcPr>
          <w:p w14:paraId="2C944BC4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[162][165]</w:t>
            </w:r>
          </w:p>
        </w:tc>
      </w:tr>
      <w:tr w:rsidR="008256E9" w14:paraId="060194C2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B1CB889" w14:textId="77777777" w:rsidR="008256E9" w:rsidRDefault="00000000">
            <w:pPr>
              <w:keepNext/>
              <w:keepLines/>
            </w:pPr>
            <w:r>
              <w:t>Accountable &amp; Transparent</w:t>
            </w:r>
          </w:p>
        </w:tc>
        <w:tc>
          <w:tcPr>
            <w:tcW w:w="2340" w:type="dxa"/>
          </w:tcPr>
          <w:p w14:paraId="07E03711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trail completeness (%), GDPR response time</w:t>
            </w:r>
          </w:p>
        </w:tc>
        <w:tc>
          <w:tcPr>
            <w:tcW w:w="2340" w:type="dxa"/>
          </w:tcPr>
          <w:p w14:paraId="3FAD2BBE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audit trail; response &lt;30 días</w:t>
            </w:r>
          </w:p>
        </w:tc>
        <w:tc>
          <w:tcPr>
            <w:tcW w:w="2340" w:type="dxa"/>
          </w:tcPr>
          <w:p w14:paraId="7173E413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[162][165]</w:t>
            </w:r>
          </w:p>
        </w:tc>
      </w:tr>
      <w:tr w:rsidR="008256E9" w14:paraId="4192FA47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B48084" w14:textId="77777777" w:rsidR="008256E9" w:rsidRDefault="00000000">
            <w:pPr>
              <w:keepNext/>
              <w:keepLines/>
            </w:pPr>
            <w:r>
              <w:t>Explainable &amp; Interpretable</w:t>
            </w:r>
          </w:p>
        </w:tc>
        <w:tc>
          <w:tcPr>
            <w:tcW w:w="2340" w:type="dxa"/>
          </w:tcPr>
          <w:p w14:paraId="78B2F79B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SHAP/LIME coverage (%), explanation quality score</w:t>
            </w:r>
          </w:p>
        </w:tc>
        <w:tc>
          <w:tcPr>
            <w:tcW w:w="2340" w:type="dxa"/>
          </w:tcPr>
          <w:p w14:paraId="04D1E33B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Coverage &gt;90%; quality ≥4/5</w:t>
            </w:r>
          </w:p>
        </w:tc>
        <w:tc>
          <w:tcPr>
            <w:tcW w:w="2340" w:type="dxa"/>
          </w:tcPr>
          <w:p w14:paraId="030713E5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[162][165]</w:t>
            </w:r>
          </w:p>
        </w:tc>
      </w:tr>
      <w:tr w:rsidR="008256E9" w14:paraId="2B14DB52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985794" w14:textId="77777777" w:rsidR="008256E9" w:rsidRDefault="00000000">
            <w:pPr>
              <w:keepNext/>
              <w:keepLines/>
            </w:pPr>
            <w:r>
              <w:t>Privacy-Enhanced</w:t>
            </w:r>
          </w:p>
        </w:tc>
        <w:tc>
          <w:tcPr>
            <w:tcW w:w="2340" w:type="dxa"/>
          </w:tcPr>
          <w:p w14:paraId="756494D1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minimization ratio, PET implementation %</w:t>
            </w:r>
          </w:p>
        </w:tc>
        <w:tc>
          <w:tcPr>
            <w:tcW w:w="2340" w:type="dxa"/>
          </w:tcPr>
          <w:p w14:paraId="2EADFDC7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Minimization &gt;70%; PET &gt;80% systems</w:t>
            </w:r>
          </w:p>
        </w:tc>
        <w:tc>
          <w:tcPr>
            <w:tcW w:w="2340" w:type="dxa"/>
          </w:tcPr>
          <w:p w14:paraId="63ED8BB0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[162][165]</w:t>
            </w:r>
          </w:p>
        </w:tc>
      </w:tr>
      <w:tr w:rsidR="008256E9" w14:paraId="75A5A51A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2EA058" w14:textId="77777777" w:rsidR="008256E9" w:rsidRDefault="00000000">
            <w:pPr>
              <w:keepLines/>
            </w:pPr>
            <w:r>
              <w:t>Fair (Bias Managed)</w:t>
            </w:r>
          </w:p>
        </w:tc>
        <w:tc>
          <w:tcPr>
            <w:tcW w:w="2340" w:type="dxa"/>
          </w:tcPr>
          <w:p w14:paraId="49CA3BB7" w14:textId="77777777" w:rsidR="008256E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Demographic parity gap, equalized odds</w:t>
            </w:r>
          </w:p>
        </w:tc>
        <w:tc>
          <w:tcPr>
            <w:tcW w:w="2340" w:type="dxa"/>
          </w:tcPr>
          <w:p w14:paraId="6E61BCF6" w14:textId="77777777" w:rsidR="008256E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 &lt;5%; equalized odds &lt;3%</w:t>
            </w:r>
          </w:p>
        </w:tc>
        <w:tc>
          <w:tcPr>
            <w:tcW w:w="2340" w:type="dxa"/>
          </w:tcPr>
          <w:p w14:paraId="369B0F45" w14:textId="77777777" w:rsidR="008256E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[162][165]</w:t>
            </w:r>
          </w:p>
        </w:tc>
      </w:tr>
    </w:tbl>
    <w:p w14:paraId="6EBBCAE2" w14:textId="77777777" w:rsidR="008256E9" w:rsidRDefault="008256E9"/>
    <w:p w14:paraId="35632448" w14:textId="77777777" w:rsidR="008256E9" w:rsidRDefault="00000000">
      <w:pPr>
        <w:pStyle w:val="Ttulo4"/>
      </w:pPr>
      <w:r>
        <w:t>MEASURE 1: Methods &amp; Metrics Identified[163][165]</w:t>
      </w:r>
    </w:p>
    <w:p w14:paraId="3773B274" w14:textId="77777777" w:rsidR="008256E9" w:rsidRDefault="00000000">
      <w:pPr>
        <w:pStyle w:val="Listaconvietas"/>
        <w:keepNext/>
        <w:keepLines/>
      </w:pPr>
      <w:r>
        <w:t>Seleccionar métricas per trustworthiness characteristic[163]</w:t>
      </w:r>
    </w:p>
    <w:p w14:paraId="6C91CCE0" w14:textId="77777777" w:rsidR="008256E9" w:rsidRPr="00635895" w:rsidRDefault="00000000">
      <w:pPr>
        <w:pStyle w:val="Listaconvietas"/>
        <w:keepNext/>
        <w:keepLines/>
        <w:rPr>
          <w:lang w:val="es-ES"/>
        </w:rPr>
      </w:pPr>
      <w:r w:rsidRPr="00635895">
        <w:rPr>
          <w:lang w:val="es-ES"/>
        </w:rPr>
        <w:t>Documentar riesgos/características no-medibles con justificación[2]</w:t>
      </w:r>
    </w:p>
    <w:p w14:paraId="306DAB2E" w14:textId="77777777" w:rsidR="008256E9" w:rsidRDefault="00000000">
      <w:pPr>
        <w:pStyle w:val="Listaconvietas"/>
        <w:keepLines/>
      </w:pPr>
      <w:r>
        <w:t>Pre-deployment TEVV (Test, Evaluation, Validation, Verification)[22][111]</w:t>
      </w:r>
    </w:p>
    <w:p w14:paraId="7A4CDCA6" w14:textId="77777777" w:rsidR="008256E9" w:rsidRDefault="00000000">
      <w:pPr>
        <w:pStyle w:val="Ttulo4"/>
      </w:pPr>
      <w:r>
        <w:t>MEASURE 2: Trustworthy Characteristics Evaluated[163]</w:t>
      </w:r>
    </w:p>
    <w:p w14:paraId="71B9BD72" w14:textId="77777777" w:rsidR="008256E9" w:rsidRDefault="00000000">
      <w:pPr>
        <w:pStyle w:val="Listaconvietas"/>
        <w:keepNext/>
        <w:keepLines/>
      </w:pPr>
      <w:r>
        <w:t>Rigor TEVV escalado por risk tier (Low/Medium/High/Critical)[163]</w:t>
      </w:r>
    </w:p>
    <w:p w14:paraId="7DA5A2E4" w14:textId="77777777" w:rsidR="008256E9" w:rsidRDefault="00000000">
      <w:pPr>
        <w:pStyle w:val="Listaconvietas"/>
        <w:keepNext/>
        <w:keepLines/>
      </w:pPr>
      <w:r>
        <w:t>Model Cards completados[111][163]</w:t>
      </w:r>
    </w:p>
    <w:p w14:paraId="5666F4FF" w14:textId="77777777" w:rsidR="008256E9" w:rsidRDefault="00000000">
      <w:pPr>
        <w:pStyle w:val="Listaconvietas"/>
        <w:keepNext/>
        <w:keepLines/>
      </w:pPr>
      <w:r>
        <w:t>Accuracy, bias, robustness, privacy, security testing[111][163]</w:t>
      </w:r>
    </w:p>
    <w:p w14:paraId="46D1B154" w14:textId="77777777" w:rsidR="008256E9" w:rsidRDefault="00000000">
      <w:pPr>
        <w:pStyle w:val="Listaconvietas"/>
        <w:keepLines/>
      </w:pPr>
      <w:r>
        <w:t>Independencia: Testing team ≠ Development team[111]</w:t>
      </w:r>
    </w:p>
    <w:p w14:paraId="758CC36C" w14:textId="77777777" w:rsidR="008256E9" w:rsidRDefault="00000000">
      <w:pPr>
        <w:pStyle w:val="Ttulo4"/>
      </w:pPr>
      <w:r>
        <w:lastRenderedPageBreak/>
        <w:t>MEASURE 3: Emergent Risks Tracked[163]</w:t>
      </w:r>
    </w:p>
    <w:p w14:paraId="3431F342" w14:textId="77777777" w:rsidR="008256E9" w:rsidRDefault="00000000">
      <w:pPr>
        <w:pStyle w:val="Listaconvietas"/>
        <w:keepNext/>
        <w:keepLines/>
      </w:pPr>
      <w:r>
        <w:t>Feedback mechanisms (end-user, impacted communities)[163]</w:t>
      </w:r>
    </w:p>
    <w:p w14:paraId="7B4DE98A" w14:textId="77777777" w:rsidR="008256E9" w:rsidRDefault="00000000">
      <w:pPr>
        <w:pStyle w:val="Listaconvietas"/>
        <w:keepNext/>
        <w:keepLines/>
      </w:pPr>
      <w:r>
        <w:t>Red teaming continuo (scheduled every 6 months)[163]</w:t>
      </w:r>
    </w:p>
    <w:p w14:paraId="770546AB" w14:textId="77777777" w:rsidR="008256E9" w:rsidRDefault="00000000">
      <w:pPr>
        <w:pStyle w:val="Listaconvietas"/>
        <w:keepLines/>
      </w:pPr>
      <w:r>
        <w:t>Risk register updates (trimestral mínimo)[163]</w:t>
      </w:r>
    </w:p>
    <w:p w14:paraId="207511C6" w14:textId="77777777" w:rsidR="008256E9" w:rsidRDefault="00000000">
      <w:pPr>
        <w:pStyle w:val="Ttulo4"/>
      </w:pPr>
      <w:r>
        <w:t>MEASURE 4: Measurement Effectiveness Validated[163]</w:t>
      </w:r>
    </w:p>
    <w:p w14:paraId="463791F3" w14:textId="77777777" w:rsidR="008256E9" w:rsidRPr="00635895" w:rsidRDefault="00000000">
      <w:pPr>
        <w:pStyle w:val="Listaconvietas"/>
        <w:keepNext/>
        <w:keepLines/>
        <w:rPr>
          <w:lang w:val="es-ES"/>
        </w:rPr>
      </w:pPr>
      <w:r w:rsidRPr="00635895">
        <w:rPr>
          <w:lang w:val="es-ES"/>
        </w:rPr>
        <w:t>% métricas validadas por evaluadores no-relacionados: Target ≥80%[163]</w:t>
      </w:r>
    </w:p>
    <w:p w14:paraId="5CE6F9E2" w14:textId="77777777" w:rsidR="008256E9" w:rsidRDefault="00000000">
      <w:pPr>
        <w:pStyle w:val="Listaconvietas"/>
        <w:keepLines/>
      </w:pPr>
      <w:r>
        <w:t>Stakeholder feedback incorporation: Target ≥50%[163]</w:t>
      </w:r>
    </w:p>
    <w:p w14:paraId="240D2E71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D. MANAGE: Orquestación Riesgos + Respuesta Incidentes (4 categorías)[161]</w:t>
      </w:r>
    </w:p>
    <w:p w14:paraId="28BB68A3" w14:textId="77777777" w:rsidR="008256E9" w:rsidRDefault="00000000">
      <w:pPr>
        <w:pStyle w:val="Ttulo4"/>
      </w:pPr>
      <w:r>
        <w:t>MANAGE 1: Mitigation Actions Prioritized &amp; Resourced[161]</w:t>
      </w:r>
    </w:p>
    <w:p w14:paraId="38AA08E9" w14:textId="77777777" w:rsidR="008256E9" w:rsidRDefault="00000000">
      <w:pPr>
        <w:pStyle w:val="Listaconvietas"/>
        <w:keepNext/>
        <w:keepLines/>
      </w:pPr>
      <w:r>
        <w:t>Risk Mitigation Matrix: avoid/reduce/share/accept per riesgo[161]</w:t>
      </w:r>
    </w:p>
    <w:p w14:paraId="6E24A85C" w14:textId="77777777" w:rsidR="008256E9" w:rsidRDefault="00000000">
      <w:pPr>
        <w:pStyle w:val="Listaconvietas"/>
        <w:keepNext/>
        <w:keepLines/>
      </w:pPr>
      <w:r>
        <w:t>Resource allocation by risk priority[161]</w:t>
      </w:r>
    </w:p>
    <w:p w14:paraId="0F5BC9D6" w14:textId="77777777" w:rsidR="008256E9" w:rsidRDefault="00000000">
      <w:pPr>
        <w:pStyle w:val="Listaconvietas"/>
        <w:keepLines/>
      </w:pPr>
      <w:r>
        <w:t>Timeline: Quick wins (0-30d), medium-term (1-3m), long-term (3-12m)[111]</w:t>
      </w:r>
    </w:p>
    <w:p w14:paraId="4F5AC652" w14:textId="77777777" w:rsidR="008256E9" w:rsidRDefault="00000000">
      <w:pPr>
        <w:pStyle w:val="Ttulo4"/>
      </w:pPr>
      <w:r>
        <w:t>MANAGE 2: Residual Risk Tolerance[161]</w:t>
      </w:r>
    </w:p>
    <w:p w14:paraId="68771EBD" w14:textId="77777777" w:rsidR="008256E9" w:rsidRDefault="00000000">
      <w:pPr>
        <w:pStyle w:val="Listaconvietas"/>
        <w:keepNext/>
        <w:keepLines/>
      </w:pPr>
      <w:r>
        <w:t>Post-mitigation risk assessment[161]</w:t>
      </w:r>
    </w:p>
    <w:p w14:paraId="3CE32887" w14:textId="77777777" w:rsidR="008256E9" w:rsidRDefault="00000000">
      <w:pPr>
        <w:pStyle w:val="Listaconvietas"/>
        <w:keepNext/>
        <w:keepLines/>
      </w:pPr>
      <w:r>
        <w:t>Go/No-Go decision: Residual risk ≤ risk tolerance → GREEN[161]</w:t>
      </w:r>
    </w:p>
    <w:p w14:paraId="7196A426" w14:textId="77777777" w:rsidR="008256E9" w:rsidRDefault="00000000">
      <w:pPr>
        <w:pStyle w:val="Listaconvietas"/>
        <w:keepLines/>
      </w:pPr>
      <w:r>
        <w:t>Contingencies: Kill switches, fallbacks, deprecation timelines[161]</w:t>
      </w:r>
    </w:p>
    <w:p w14:paraId="3B242F3B" w14:textId="77777777" w:rsidR="008256E9" w:rsidRDefault="00000000">
      <w:pPr>
        <w:pStyle w:val="Ttulo4"/>
      </w:pPr>
      <w:r>
        <w:t>MANAGE 3: Incident Response &amp; Communication[161]</w:t>
      </w:r>
    </w:p>
    <w:p w14:paraId="7634B3C9" w14:textId="77777777" w:rsidR="008256E9" w:rsidRDefault="00000000">
      <w:pPr>
        <w:pStyle w:val="Listaconvietas"/>
        <w:keepNext/>
        <w:keepLines/>
      </w:pPr>
      <w:r>
        <w:t>Incident playbooks (&gt;5 types documentados)[161]</w:t>
      </w:r>
    </w:p>
    <w:p w14:paraId="5EE21F8D" w14:textId="77777777" w:rsidR="008256E9" w:rsidRDefault="00000000">
      <w:pPr>
        <w:pStyle w:val="Listaconvietas"/>
        <w:keepLines/>
      </w:pPr>
      <w:r>
        <w:t>SLA by severity: Critical &lt;15 min assignment, &lt;1h status, &lt;4h resolution plan[161]</w:t>
      </w:r>
    </w:p>
    <w:p w14:paraId="23E155E4" w14:textId="77777777" w:rsidR="008256E9" w:rsidRDefault="00000000">
      <w:pPr>
        <w:pStyle w:val="Ttulo4"/>
      </w:pPr>
      <w:r>
        <w:t>MANAGE 4: Monitoring &amp; Continuous Improvement[161]</w:t>
      </w:r>
    </w:p>
    <w:p w14:paraId="16A8D45D" w14:textId="77777777" w:rsidR="008256E9" w:rsidRDefault="00000000">
      <w:pPr>
        <w:pStyle w:val="Listaconvietas"/>
        <w:keepLines/>
      </w:pPr>
      <w:r>
        <w:t>KPIs tracked quarterly: deployment success rate (≥95%), incident frequency (&lt;2/1000 model-years), validation coverage (≥95%)[161]</w:t>
      </w:r>
    </w:p>
    <w:p w14:paraId="65E7A0AA" w14:textId="77777777" w:rsidR="008256E9" w:rsidRPr="00635895" w:rsidRDefault="00000000">
      <w:pPr>
        <w:pStyle w:val="Ttulo2"/>
        <w:rPr>
          <w:lang w:val="es-ES"/>
        </w:rPr>
      </w:pPr>
      <w:r w:rsidRPr="00635895">
        <w:rPr>
          <w:color w:val="0066CC"/>
          <w:lang w:val="es-ES"/>
        </w:rPr>
        <w:t>III. CADENA SUMINISTRO IA: VULNERABILIDADES CRÍTICAS (2024-2026)</w:t>
      </w:r>
    </w:p>
    <w:p w14:paraId="020B9265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A. Landscape de Amenazas Documentadas</w:t>
      </w:r>
    </w:p>
    <w:p w14:paraId="10FBF11B" w14:textId="77777777" w:rsidR="008256E9" w:rsidRPr="00635895" w:rsidRDefault="00000000">
      <w:pPr>
        <w:pStyle w:val="Ttulo4"/>
        <w:rPr>
          <w:lang w:val="es-ES"/>
        </w:rPr>
      </w:pPr>
      <w:r w:rsidRPr="00635895">
        <w:rPr>
          <w:lang w:val="es-ES"/>
        </w:rPr>
        <w:t>1. HuggingFace Trojanized Models (Febrero-Octubre 2024)[138][144]</w:t>
      </w:r>
    </w:p>
    <w:p w14:paraId="2C5D4612" w14:textId="77777777" w:rsidR="008256E9" w:rsidRDefault="00000000">
      <w:r>
        <w:rPr>
          <w:b/>
        </w:rPr>
        <w:t>Hallazgo</w:t>
      </w:r>
      <w:r>
        <w:t>: 3,000+ malicious model files detected by ProtectAI[138][141]</w:t>
      </w:r>
    </w:p>
    <w:p w14:paraId="1155DFEE" w14:textId="77777777" w:rsidR="008256E9" w:rsidRDefault="00000000">
      <w:r>
        <w:rPr>
          <w:b/>
        </w:rPr>
        <w:t>Técnica</w:t>
      </w:r>
      <w:r>
        <w:t>: Pickle files (PyTorch) con arbitrary code execution[138][150]</w:t>
      </w:r>
      <w:r>
        <w:br/>
        <w:t>- Credencial theft, AWS API key extraction[138]</w:t>
      </w:r>
      <w:r>
        <w:br/>
        <w:t>- Reverse shells[138]</w:t>
      </w:r>
    </w:p>
    <w:p w14:paraId="267C7A90" w14:textId="77777777" w:rsidR="008256E9" w:rsidRDefault="00000000">
      <w:r>
        <w:rPr>
          <w:b/>
        </w:rPr>
        <w:t>Caso: Fake 23AndMe Model</w:t>
      </w:r>
      <w:r>
        <w:t>[138]</w:t>
      </w:r>
      <w:r>
        <w:br/>
        <w:t>- Miles descargas pre-detección[138]</w:t>
      </w:r>
      <w:r>
        <w:br/>
        <w:t>- AWS credential theft → infrastructure compromise[138]</w:t>
      </w:r>
    </w:p>
    <w:p w14:paraId="1076BCA2" w14:textId="77777777" w:rsidR="008256E9" w:rsidRDefault="00000000">
      <w:r>
        <w:rPr>
          <w:b/>
        </w:rPr>
        <w:lastRenderedPageBreak/>
        <w:t>Respuesta</w:t>
      </w:r>
      <w:r>
        <w:t>: ProtectAI scanning integrado en HuggingFace; flag "Unsafe" pre-descarga[138][144]</w:t>
      </w:r>
    </w:p>
    <w:p w14:paraId="362F4FEB" w14:textId="77777777" w:rsidR="008256E9" w:rsidRDefault="00000000">
      <w:pPr>
        <w:pStyle w:val="Ttulo4"/>
      </w:pPr>
      <w:r>
        <w:t>2. PyPI Supply Chain Attack (Mayo 2024)[137][143]</w:t>
      </w:r>
    </w:p>
    <w:p w14:paraId="5019C5A2" w14:textId="77777777" w:rsidR="008256E9" w:rsidRDefault="00000000">
      <w:r>
        <w:rPr>
          <w:b/>
        </w:rPr>
        <w:t>Paquetes Malignos</w:t>
      </w:r>
      <w:r>
        <w:t>: aliyun-ai-labs-snippets-sdk, ai-labs-snippets-sdk[137]</w:t>
      </w:r>
      <w:r>
        <w:br/>
        <w:t>- 1,700+ descargas &lt;24 horas[137]</w:t>
      </w:r>
      <w:r>
        <w:br/>
        <w:t>- Infostealer oculto en PyTorch models[137]</w:t>
      </w:r>
      <w:r>
        <w:br/>
        <w:t>- Exfiltración .gitconfig (GitHub tokens)[137]</w:t>
      </w:r>
    </w:p>
    <w:p w14:paraId="07BFBAD6" w14:textId="77777777" w:rsidR="008256E9" w:rsidRDefault="00000000">
      <w:r>
        <w:rPr>
          <w:b/>
        </w:rPr>
        <w:t>Escala Ampliada</w:t>
      </w:r>
      <w:r>
        <w:t>: 100+ malicious packages targeting ML libraries (PyTorch, Matplotlib)[137][143][149]</w:t>
      </w:r>
      <w:r>
        <w:br/>
        <w:t>- Typo-squatting (PyToich vs. PyTorch)[137][143][149]</w:t>
      </w:r>
      <w:r>
        <w:br/>
        <w:t>- Cryptominers, info stealers, reverse shells[137]</w:t>
      </w:r>
    </w:p>
    <w:p w14:paraId="616F5531" w14:textId="77777777" w:rsidR="008256E9" w:rsidRDefault="00000000">
      <w:pPr>
        <w:pStyle w:val="Ttulo4"/>
      </w:pPr>
      <w:r>
        <w:t>3. Ultralytics YOLO11 Compromise (Diciembre 2024)[81][146]</w:t>
      </w:r>
    </w:p>
    <w:p w14:paraId="07243483" w14:textId="77777777" w:rsidR="008256E9" w:rsidRDefault="00000000">
      <w:r>
        <w:rPr>
          <w:b/>
        </w:rPr>
        <w:t>Impacto</w:t>
      </w:r>
      <w:r>
        <w:t>: XMRig cryptominer injected en object detection library[81]</w:t>
      </w:r>
      <w:r>
        <w:br/>
        <w:t>- Transitive dependency impact[146]</w:t>
      </w:r>
      <w:r>
        <w:br/>
        <w:t>- Resource consumption escalada[146]</w:t>
      </w:r>
    </w:p>
    <w:p w14:paraId="12FF34CC" w14:textId="77777777" w:rsidR="008256E9" w:rsidRDefault="00000000">
      <w:r>
        <w:rPr>
          <w:b/>
        </w:rPr>
        <w:t>Lección</w:t>
      </w:r>
      <w:r>
        <w:t>: Model integrity checking prerequisite pre-CI/CD[81]</w:t>
      </w:r>
    </w:p>
    <w:p w14:paraId="63993A38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B. Vectores de Ataque Mapeados (NIST Cyber AI Profile)[72][80][139]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256E9" w14:paraId="2F53A21A" w14:textId="77777777" w:rsidTr="00825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85B5475" w14:textId="77777777" w:rsidR="008256E9" w:rsidRDefault="00000000">
            <w:pPr>
              <w:keepNext/>
              <w:keepLines/>
            </w:pPr>
            <w:r>
              <w:rPr>
                <w:color w:val="FFFFFF"/>
              </w:rPr>
              <w:t>Vector</w:t>
            </w:r>
          </w:p>
        </w:tc>
        <w:tc>
          <w:tcPr>
            <w:tcW w:w="2340" w:type="dxa"/>
            <w:shd w:val="clear" w:color="auto" w:fill="0033CC"/>
          </w:tcPr>
          <w:p w14:paraId="32C3C560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Técnica</w:t>
            </w:r>
          </w:p>
        </w:tc>
        <w:tc>
          <w:tcPr>
            <w:tcW w:w="2340" w:type="dxa"/>
            <w:shd w:val="clear" w:color="auto" w:fill="0033CC"/>
          </w:tcPr>
          <w:p w14:paraId="1B77C88C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NIST Función</w:t>
            </w:r>
          </w:p>
        </w:tc>
        <w:tc>
          <w:tcPr>
            <w:tcW w:w="2340" w:type="dxa"/>
            <w:shd w:val="clear" w:color="auto" w:fill="0033CC"/>
          </w:tcPr>
          <w:p w14:paraId="5D556013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Métrica Detección</w:t>
            </w:r>
          </w:p>
        </w:tc>
      </w:tr>
      <w:tr w:rsidR="008256E9" w14:paraId="0285EABA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67E9A2F" w14:textId="77777777" w:rsidR="008256E9" w:rsidRDefault="00000000">
            <w:pPr>
              <w:keepNext/>
              <w:keepLines/>
            </w:pPr>
            <w:r>
              <w:t>Data Poisoning</w:t>
            </w:r>
          </w:p>
        </w:tc>
        <w:tc>
          <w:tcPr>
            <w:tcW w:w="2340" w:type="dxa"/>
          </w:tcPr>
          <w:p w14:paraId="31EDD5A4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Contaminación training data[139]</w:t>
            </w:r>
          </w:p>
        </w:tc>
        <w:tc>
          <w:tcPr>
            <w:tcW w:w="2340" w:type="dxa"/>
          </w:tcPr>
          <w:p w14:paraId="0C29C2E2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 1, MEASURE 2</w:t>
            </w:r>
          </w:p>
        </w:tc>
        <w:tc>
          <w:tcPr>
            <w:tcW w:w="2340" w:type="dxa"/>
          </w:tcPr>
          <w:p w14:paraId="39260476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data validated ≥99%[139]</w:t>
            </w:r>
          </w:p>
        </w:tc>
      </w:tr>
      <w:tr w:rsidR="008256E9" w14:paraId="2F96F755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8A9C76" w14:textId="77777777" w:rsidR="008256E9" w:rsidRDefault="00000000">
            <w:pPr>
              <w:keepNext/>
              <w:keepLines/>
            </w:pPr>
            <w:r>
              <w:t>Model Extraction</w:t>
            </w:r>
          </w:p>
        </w:tc>
        <w:tc>
          <w:tcPr>
            <w:tcW w:w="2340" w:type="dxa"/>
          </w:tcPr>
          <w:p w14:paraId="6EA1523A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Queries → replicación modelo[139]</w:t>
            </w:r>
          </w:p>
        </w:tc>
        <w:tc>
          <w:tcPr>
            <w:tcW w:w="2340" w:type="dxa"/>
          </w:tcPr>
          <w:p w14:paraId="3DDC797A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GOVERN 1, MEASURE 1</w:t>
            </w:r>
          </w:p>
        </w:tc>
        <w:tc>
          <w:tcPr>
            <w:tcW w:w="2340" w:type="dxa"/>
          </w:tcPr>
          <w:p w14:paraId="4E2D0148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Query pattern analysis[139]</w:t>
            </w:r>
          </w:p>
        </w:tc>
      </w:tr>
      <w:tr w:rsidR="008256E9" w14:paraId="41AD6E26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9B38FE" w14:textId="77777777" w:rsidR="008256E9" w:rsidRDefault="00000000">
            <w:pPr>
              <w:keepNext/>
              <w:keepLines/>
            </w:pPr>
            <w:r>
              <w:t>Prompt Injection</w:t>
            </w:r>
          </w:p>
        </w:tc>
        <w:tc>
          <w:tcPr>
            <w:tcW w:w="2340" w:type="dxa"/>
          </w:tcPr>
          <w:p w14:paraId="56E63C31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Manipulación LLM bypass guardrails[139][86]</w:t>
            </w:r>
          </w:p>
        </w:tc>
        <w:tc>
          <w:tcPr>
            <w:tcW w:w="2340" w:type="dxa"/>
          </w:tcPr>
          <w:p w14:paraId="59A00E6C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 1, MEASURE 2</w:t>
            </w:r>
          </w:p>
        </w:tc>
        <w:tc>
          <w:tcPr>
            <w:tcW w:w="2340" w:type="dxa"/>
          </w:tcPr>
          <w:p w14:paraId="6C563147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pattern anomalies[139]</w:t>
            </w:r>
          </w:p>
        </w:tc>
      </w:tr>
      <w:tr w:rsidR="008256E9" w14:paraId="5DADBE00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5677D4D" w14:textId="77777777" w:rsidR="008256E9" w:rsidRDefault="00000000">
            <w:pPr>
              <w:keepNext/>
              <w:keepLines/>
            </w:pPr>
            <w:r>
              <w:t>CI/CD Compromise</w:t>
            </w:r>
          </w:p>
        </w:tc>
        <w:tc>
          <w:tcPr>
            <w:tcW w:w="2340" w:type="dxa"/>
          </w:tcPr>
          <w:p w14:paraId="5E3EB01D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Inyección pipelines[80]</w:t>
            </w:r>
          </w:p>
        </w:tc>
        <w:tc>
          <w:tcPr>
            <w:tcW w:w="2340" w:type="dxa"/>
          </w:tcPr>
          <w:p w14:paraId="25F72AC5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GOVERN 1, MANAGE 1</w:t>
            </w:r>
          </w:p>
        </w:tc>
        <w:tc>
          <w:tcPr>
            <w:tcW w:w="2340" w:type="dxa"/>
          </w:tcPr>
          <w:p w14:paraId="16308011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Commit verification[80]</w:t>
            </w:r>
          </w:p>
        </w:tc>
      </w:tr>
      <w:tr w:rsidR="008256E9" w14:paraId="0FF6906F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5EFE2F" w14:textId="77777777" w:rsidR="008256E9" w:rsidRDefault="00000000">
            <w:pPr>
              <w:keepLines/>
            </w:pPr>
            <w:r>
              <w:t>Dependency Confusion</w:t>
            </w:r>
          </w:p>
        </w:tc>
        <w:tc>
          <w:tcPr>
            <w:tcW w:w="2340" w:type="dxa"/>
          </w:tcPr>
          <w:p w14:paraId="704A3866" w14:textId="77777777" w:rsidR="008256E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Trojanized librerías populares[142]</w:t>
            </w:r>
          </w:p>
        </w:tc>
        <w:tc>
          <w:tcPr>
            <w:tcW w:w="2340" w:type="dxa"/>
          </w:tcPr>
          <w:p w14:paraId="6A628D79" w14:textId="77777777" w:rsidR="008256E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 1, MEASURE 1</w:t>
            </w:r>
          </w:p>
        </w:tc>
        <w:tc>
          <w:tcPr>
            <w:tcW w:w="2340" w:type="dxa"/>
          </w:tcPr>
          <w:p w14:paraId="61DA54DD" w14:textId="77777777" w:rsidR="008256E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 mismatch alerts[142]</w:t>
            </w:r>
          </w:p>
        </w:tc>
      </w:tr>
    </w:tbl>
    <w:p w14:paraId="010FA641" w14:textId="77777777" w:rsidR="008256E9" w:rsidRDefault="008256E9"/>
    <w:p w14:paraId="5069BA5E" w14:textId="77777777" w:rsidR="008256E9" w:rsidRDefault="00000000">
      <w:pPr>
        <w:pStyle w:val="Ttulo3"/>
      </w:pPr>
      <w:r>
        <w:t>C. Solución Emergente: ML-BOM (Machine Learning Bill of Materials)[142][151]</w:t>
      </w:r>
    </w:p>
    <w:p w14:paraId="031F8F2E" w14:textId="77777777" w:rsidR="008256E9" w:rsidRDefault="00000000">
      <w:r>
        <w:rPr>
          <w:b/>
        </w:rPr>
        <w:t>Componentes a Catalogar</w:t>
      </w:r>
      <w:r>
        <w:t>[142]:</w:t>
      </w:r>
      <w:r>
        <w:br/>
        <w:t>- Pre-trained models (source, version, hash, provenance)</w:t>
      </w:r>
      <w:r>
        <w:br/>
        <w:t>- Training data (source, license, PII risk)</w:t>
      </w:r>
      <w:r>
        <w:br/>
        <w:t>- Dependencies (framework versions, CVE tracking)</w:t>
      </w:r>
      <w:r>
        <w:br/>
        <w:t>- Data processing pipelines (vendor, security posture)</w:t>
      </w:r>
      <w:r>
        <w:br/>
        <w:t>- Deployment infrastructure (cloud provider, compliance)</w:t>
      </w:r>
      <w:r>
        <w:br/>
        <w:t>- Third-party services (APIs, data flows, DLP status)[142]</w:t>
      </w:r>
    </w:p>
    <w:p w14:paraId="6CC48D48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lastRenderedPageBreak/>
        <w:t>Beneficios</w:t>
      </w:r>
      <w:r w:rsidRPr="00635895">
        <w:rPr>
          <w:lang w:val="es-ES"/>
        </w:rPr>
        <w:t>[142]:</w:t>
      </w:r>
      <w:r w:rsidRPr="00635895">
        <w:rPr>
          <w:lang w:val="es-ES"/>
        </w:rPr>
        <w:br/>
        <w:t>- Detectar paquetes malignos pre-deploy[142]</w:t>
      </w:r>
      <w:r w:rsidRPr="00635895">
        <w:rPr>
          <w:lang w:val="es-ES"/>
        </w:rPr>
        <w:br/>
        <w:t>- Compliance EU AI Act (Art. 28-29 trazabilidad)[142]</w:t>
      </w:r>
      <w:r w:rsidRPr="00635895">
        <w:rPr>
          <w:lang w:val="es-ES"/>
        </w:rPr>
        <w:br/>
        <w:t>- Alignment NIST MAP 1 + MEASURE 1[142]</w:t>
      </w:r>
    </w:p>
    <w:p w14:paraId="4B6CFE7D" w14:textId="77777777" w:rsidR="008256E9" w:rsidRPr="00635895" w:rsidRDefault="00000000">
      <w:pPr>
        <w:pStyle w:val="Ttulo2"/>
        <w:rPr>
          <w:lang w:val="es-ES"/>
        </w:rPr>
      </w:pPr>
      <w:r w:rsidRPr="00635895">
        <w:rPr>
          <w:color w:val="0066CC"/>
          <w:lang w:val="es-ES"/>
        </w:rPr>
        <w:t>IV. CONTEXTO TERRITORIAL ESPAÑA: NORMATIVA + CAPACIDAD INSTITUCIONAL</w:t>
      </w:r>
    </w:p>
    <w:p w14:paraId="2F6BF16E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A. Normativa Vigente (2024-2026)</w:t>
      </w:r>
    </w:p>
    <w:p w14:paraId="5B19D1A4" w14:textId="77777777" w:rsidR="008256E9" w:rsidRPr="00635895" w:rsidRDefault="00000000">
      <w:pPr>
        <w:pStyle w:val="Ttulo4"/>
        <w:rPr>
          <w:lang w:val="es-ES"/>
        </w:rPr>
      </w:pPr>
      <w:r w:rsidRPr="00635895">
        <w:rPr>
          <w:lang w:val="es-ES"/>
        </w:rPr>
        <w:t>1. Reglamento (UE) 2024/1689 (Ley de IA)[35][167][171]</w:t>
      </w:r>
    </w:p>
    <w:p w14:paraId="088C61C4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Timeline Operacionalización</w:t>
      </w:r>
      <w:r w:rsidRPr="00635895">
        <w:rPr>
          <w:lang w:val="es-ES"/>
        </w:rPr>
        <w:t>[171]:</w:t>
      </w:r>
      <w:r w:rsidRPr="00635895">
        <w:rPr>
          <w:lang w:val="es-ES"/>
        </w:rPr>
        <w:br/>
        <w:t>- 2 febrero 2026: Capítulos I-II operativos[171]</w:t>
      </w:r>
      <w:r w:rsidRPr="00635895">
        <w:rPr>
          <w:lang w:val="es-ES"/>
        </w:rPr>
        <w:br/>
        <w:t>- Agosto 2026: Art. 50 (transparencia usuarios) obligatorio[171]</w:t>
      </w:r>
      <w:r w:rsidRPr="00635895">
        <w:rPr>
          <w:lang w:val="es-ES"/>
        </w:rPr>
        <w:br/>
        <w:t>- Q2 2026: Art. 28-99 (conformidad, sanciones) operativos[171]</w:t>
      </w:r>
    </w:p>
    <w:p w14:paraId="0C8F3FDF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Sanciones</w:t>
      </w:r>
      <w:r w:rsidRPr="00635895">
        <w:rPr>
          <w:lang w:val="es-ES"/>
        </w:rPr>
        <w:t>[171]:</w:t>
      </w:r>
      <w:r w:rsidRPr="00635895">
        <w:rPr>
          <w:lang w:val="es-ES"/>
        </w:rPr>
        <w:br/>
        <w:t>- Muy graves: €35M o 7% volumen negocio[171]</w:t>
      </w:r>
      <w:r w:rsidRPr="00635895">
        <w:rPr>
          <w:lang w:val="es-ES"/>
        </w:rPr>
        <w:br/>
        <w:t>- Graves: €15M o 4% volumen[171]</w:t>
      </w:r>
      <w:r w:rsidRPr="00635895">
        <w:rPr>
          <w:lang w:val="es-ES"/>
        </w:rPr>
        <w:br/>
        <w:t>- Leves: €10M o 2% volumen[171]</w:t>
      </w:r>
    </w:p>
    <w:p w14:paraId="6E92132B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Autoridad</w:t>
      </w:r>
      <w:r w:rsidRPr="00635895">
        <w:rPr>
          <w:lang w:val="es-ES"/>
        </w:rPr>
        <w:t>: AESIA (Agencia Española Supervisión IA)[167]</w:t>
      </w:r>
      <w:r w:rsidRPr="00635895">
        <w:rPr>
          <w:lang w:val="es-ES"/>
        </w:rPr>
        <w:br/>
        <w:t>- Creada marzo 2025[167][171]</w:t>
      </w:r>
      <w:r w:rsidRPr="00635895">
        <w:rPr>
          <w:lang w:val="es-ES"/>
        </w:rPr>
        <w:br/>
        <w:t>- Director General: Ignasi Belda Reig[167]</w:t>
      </w:r>
      <w:r w:rsidRPr="00635895">
        <w:rPr>
          <w:lang w:val="es-ES"/>
        </w:rPr>
        <w:br/>
        <w:t>- Estructura: Presidencia (Secretaría Estado Digitalización e IA), Dirección, Consejo Rector (8 miembros)[167]</w:t>
      </w:r>
      <w:r w:rsidRPr="00635895">
        <w:rPr>
          <w:lang w:val="es-ES"/>
        </w:rPr>
        <w:br/>
        <w:t>- Cuerpo de inspección operativo a partir 2 agosto 2025[167]</w:t>
      </w:r>
    </w:p>
    <w:p w14:paraId="74F64B8F" w14:textId="77777777" w:rsidR="008256E9" w:rsidRDefault="00000000">
      <w:r>
        <w:rPr>
          <w:b/>
        </w:rPr>
        <w:t>Enfoque Risk-Based</w:t>
      </w:r>
      <w:r>
        <w:t>[171]:</w:t>
      </w:r>
      <w:r>
        <w:br/>
        <w:t>- Prohibited (art. 5): Sistemas causing clear, unacceptable harm</w:t>
      </w:r>
      <w:r>
        <w:br/>
        <w:t>- High-Risk (art. 6-28): Assessment systems, employment, law enforcement</w:t>
      </w:r>
      <w:r>
        <w:br/>
        <w:t>- Limited-Risk (transparency): Chatbots, deepfakes</w:t>
      </w:r>
      <w:r>
        <w:br/>
        <w:t>- Minimal-Risk: Open source, low-impact[171]</w:t>
      </w:r>
    </w:p>
    <w:p w14:paraId="27BD9F37" w14:textId="77777777" w:rsidR="008256E9" w:rsidRPr="00635895" w:rsidRDefault="00000000">
      <w:pPr>
        <w:pStyle w:val="Ttulo4"/>
        <w:rPr>
          <w:lang w:val="es-ES"/>
        </w:rPr>
      </w:pPr>
      <w:r w:rsidRPr="00635895">
        <w:rPr>
          <w:lang w:val="es-ES"/>
        </w:rPr>
        <w:t>2. Directiva NIS2 + Transposición España (RD 443/2024 + ENS)[58][66][69]</w:t>
      </w:r>
    </w:p>
    <w:p w14:paraId="3091DAF8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Vigencia España</w:t>
      </w:r>
      <w:r w:rsidRPr="00635895">
        <w:rPr>
          <w:lang w:val="es-ES"/>
        </w:rPr>
        <w:t>: 17 octubre 2024 (transposición legislativa oficial)[58]</w:t>
      </w:r>
    </w:p>
    <w:p w14:paraId="668A3BB3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12 Sectores Críticos Bajo Supervisión INCIBE</w:t>
      </w:r>
      <w:r w:rsidRPr="00635895">
        <w:rPr>
          <w:lang w:val="es-ES"/>
        </w:rPr>
        <w:t>[58]:</w:t>
      </w:r>
      <w:r w:rsidRPr="00635895">
        <w:rPr>
          <w:lang w:val="es-ES"/>
        </w:rPr>
        <w:br/>
        <w:t>Energía, Transporte, Agua, Salud, Telecomunicaciones, Admin. Pública, Defensa, Finanzas, Infraestructuras digitales, Espacial, Química-Industrial, Alimentación[58]</w:t>
      </w:r>
    </w:p>
    <w:p w14:paraId="60213989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Obligaciones Críticas</w:t>
      </w:r>
      <w:r w:rsidRPr="00635895">
        <w:rPr>
          <w:lang w:val="es-ES"/>
        </w:rPr>
        <w:t>[58]:</w:t>
      </w:r>
      <w:r w:rsidRPr="00635895">
        <w:rPr>
          <w:lang w:val="es-ES"/>
        </w:rPr>
        <w:br/>
        <w:t>- Evaluación riesgos periódica (anual mínimo)[58]</w:t>
      </w:r>
      <w:r w:rsidRPr="00635895">
        <w:rPr>
          <w:lang w:val="es-ES"/>
        </w:rPr>
        <w:br/>
        <w:t>- Implementación medidas gestión riesgos[58]</w:t>
      </w:r>
      <w:r w:rsidRPr="00635895">
        <w:rPr>
          <w:lang w:val="es-ES"/>
        </w:rPr>
        <w:br/>
      </w:r>
      <w:r w:rsidRPr="00635895">
        <w:rPr>
          <w:lang w:val="es-ES"/>
        </w:rPr>
        <w:lastRenderedPageBreak/>
        <w:t>- Notificación incidentes &lt;72 horas[58]</w:t>
      </w:r>
      <w:r w:rsidRPr="00635895">
        <w:rPr>
          <w:lang w:val="es-ES"/>
        </w:rPr>
        <w:br/>
        <w:t>- Auditorías independientes (trienales)[58]</w:t>
      </w:r>
    </w:p>
    <w:p w14:paraId="75A9321B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Sanciones</w:t>
      </w:r>
      <w:r w:rsidRPr="00635895">
        <w:rPr>
          <w:lang w:val="es-ES"/>
        </w:rPr>
        <w:t>: €10-20M o 2-4% volumen anual[58]</w:t>
      </w:r>
    </w:p>
    <w:p w14:paraId="76F420E1" w14:textId="77777777" w:rsidR="008256E9" w:rsidRPr="00635895" w:rsidRDefault="00000000">
      <w:pPr>
        <w:pStyle w:val="Ttulo4"/>
        <w:rPr>
          <w:lang w:val="es-ES"/>
        </w:rPr>
      </w:pPr>
      <w:r w:rsidRPr="00635895">
        <w:rPr>
          <w:lang w:val="es-ES"/>
        </w:rPr>
        <w:t>3. Estrategia Nacional IA (2024) + Plan Nacional Ciberseguridad (2025-2026)[37][40]</w:t>
      </w:r>
    </w:p>
    <w:p w14:paraId="0E9E474F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Coordinador</w:t>
      </w:r>
      <w:r w:rsidRPr="00635895">
        <w:rPr>
          <w:lang w:val="es-ES"/>
        </w:rPr>
        <w:t>: SEDIA (Secretaría Estado Digitalización e IA)[37]</w:t>
      </w:r>
    </w:p>
    <w:p w14:paraId="69226701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Inversión</w:t>
      </w:r>
      <w:r w:rsidRPr="00635895">
        <w:rPr>
          <w:lang w:val="es-ES"/>
        </w:rPr>
        <w:t>: €1.157M (ciberseguridad + resiliencia digital)[37]</w:t>
      </w:r>
    </w:p>
    <w:p w14:paraId="67D6923D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Iniciativas Clave</w:t>
      </w:r>
      <w:r w:rsidRPr="00635895">
        <w:rPr>
          <w:lang w:val="es-ES"/>
        </w:rPr>
        <w:t>[37]:</w:t>
      </w:r>
      <w:r w:rsidRPr="00635895">
        <w:rPr>
          <w:lang w:val="es-ES"/>
        </w:rPr>
        <w:br/>
        <w:t>- Integración IA en SOCs nacionales[37]</w:t>
      </w:r>
      <w:r w:rsidRPr="00635895">
        <w:rPr>
          <w:lang w:val="es-ES"/>
        </w:rPr>
        <w:br/>
        <w:t>- Red Competencia Nacional (NCC-ES)[37]</w:t>
      </w:r>
      <w:r w:rsidRPr="00635895">
        <w:rPr>
          <w:lang w:val="es-ES"/>
        </w:rPr>
        <w:br/>
        <w:t>- Sandbox regulatorio high-risk AI[37]</w:t>
      </w:r>
    </w:p>
    <w:p w14:paraId="2DB5182F" w14:textId="77777777" w:rsidR="008256E9" w:rsidRDefault="00000000">
      <w:pPr>
        <w:pStyle w:val="Ttulo3"/>
      </w:pPr>
      <w:r>
        <w:t>B. Indicadores Ciberseguridad Nacional (2024)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256E9" w14:paraId="261CD0CC" w14:textId="77777777" w:rsidTr="00825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176D9DBE" w14:textId="77777777" w:rsidR="008256E9" w:rsidRDefault="00000000">
            <w:pPr>
              <w:keepNext/>
              <w:keepLines/>
            </w:pPr>
            <w:r>
              <w:rPr>
                <w:color w:val="FFFFFF"/>
              </w:rPr>
              <w:t>Métrica</w:t>
            </w:r>
          </w:p>
        </w:tc>
        <w:tc>
          <w:tcPr>
            <w:tcW w:w="2340" w:type="dxa"/>
            <w:shd w:val="clear" w:color="auto" w:fill="0033CC"/>
          </w:tcPr>
          <w:p w14:paraId="63492D41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Valor</w:t>
            </w:r>
          </w:p>
        </w:tc>
        <w:tc>
          <w:tcPr>
            <w:tcW w:w="2340" w:type="dxa"/>
            <w:shd w:val="clear" w:color="auto" w:fill="0033CC"/>
          </w:tcPr>
          <w:p w14:paraId="095A0F67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Tendencia</w:t>
            </w:r>
          </w:p>
        </w:tc>
        <w:tc>
          <w:tcPr>
            <w:tcW w:w="2340" w:type="dxa"/>
            <w:shd w:val="clear" w:color="auto" w:fill="0033CC"/>
          </w:tcPr>
          <w:p w14:paraId="5F0D8E66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Referencia</w:t>
            </w:r>
          </w:p>
        </w:tc>
      </w:tr>
      <w:tr w:rsidR="008256E9" w14:paraId="45CEAC2A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82F19C" w14:textId="77777777" w:rsidR="008256E9" w:rsidRDefault="00000000">
            <w:pPr>
              <w:keepNext/>
              <w:keepLines/>
            </w:pPr>
            <w:r>
              <w:t>NCSI Posición Global</w:t>
            </w:r>
          </w:p>
        </w:tc>
        <w:tc>
          <w:tcPr>
            <w:tcW w:w="2340" w:type="dxa"/>
          </w:tcPr>
          <w:p w14:paraId="4C7BBCCC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15º (89.17/100)[56]</w:t>
            </w:r>
          </w:p>
        </w:tc>
        <w:tc>
          <w:tcPr>
            <w:tcW w:w="2340" w:type="dxa"/>
          </w:tcPr>
          <w:p w14:paraId="4206B0C1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Estable vs 2023[56]</w:t>
            </w:r>
          </w:p>
        </w:tc>
        <w:tc>
          <w:tcPr>
            <w:tcW w:w="2340" w:type="dxa"/>
          </w:tcPr>
          <w:p w14:paraId="15B7C35E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[56][169]</w:t>
            </w:r>
          </w:p>
        </w:tc>
      </w:tr>
      <w:tr w:rsidR="008256E9" w14:paraId="15E068BA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4AF97E2" w14:textId="77777777" w:rsidR="008256E9" w:rsidRDefault="00000000">
            <w:pPr>
              <w:keepNext/>
              <w:keepLines/>
            </w:pPr>
            <w:r>
              <w:t>Incidentes Totales 2024</w:t>
            </w:r>
          </w:p>
        </w:tc>
        <w:tc>
          <w:tcPr>
            <w:tcW w:w="2340" w:type="dxa"/>
          </w:tcPr>
          <w:p w14:paraId="7F627DA8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97.348[166]</w:t>
            </w:r>
          </w:p>
        </w:tc>
        <w:tc>
          <w:tcPr>
            <w:tcW w:w="2340" w:type="dxa"/>
          </w:tcPr>
          <w:p w14:paraId="007B9DF5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↑ 16.6% YoY[166]</w:t>
            </w:r>
          </w:p>
        </w:tc>
        <w:tc>
          <w:tcPr>
            <w:tcW w:w="2340" w:type="dxa"/>
          </w:tcPr>
          <w:p w14:paraId="21676026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[166][59]</w:t>
            </w:r>
          </w:p>
        </w:tc>
      </w:tr>
      <w:tr w:rsidR="008256E9" w14:paraId="2555CF5E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D1E5B28" w14:textId="77777777" w:rsidR="008256E9" w:rsidRDefault="00000000">
            <w:pPr>
              <w:keepNext/>
              <w:keepLines/>
            </w:pPr>
            <w:r>
              <w:t>Incidentes en Empresas</w:t>
            </w:r>
          </w:p>
        </w:tc>
        <w:tc>
          <w:tcPr>
            <w:tcW w:w="2340" w:type="dxa"/>
          </w:tcPr>
          <w:p w14:paraId="709BFCD6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31.540 (32%)[166]</w:t>
            </w:r>
          </w:p>
        </w:tc>
        <w:tc>
          <w:tcPr>
            <w:tcW w:w="2340" w:type="dxa"/>
          </w:tcPr>
          <w:p w14:paraId="2B3F842C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↑ 43.2% YoY[166]</w:t>
            </w:r>
          </w:p>
        </w:tc>
        <w:tc>
          <w:tcPr>
            <w:tcW w:w="2340" w:type="dxa"/>
          </w:tcPr>
          <w:p w14:paraId="3EBE4B26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[166][59]</w:t>
            </w:r>
          </w:p>
        </w:tc>
      </w:tr>
      <w:tr w:rsidR="008256E9" w14:paraId="60EA32DD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010577" w14:textId="77777777" w:rsidR="008256E9" w:rsidRDefault="00000000">
            <w:pPr>
              <w:keepNext/>
              <w:keepLines/>
            </w:pPr>
            <w:r>
              <w:t>Sistemas Vulnerables</w:t>
            </w:r>
          </w:p>
        </w:tc>
        <w:tc>
          <w:tcPr>
            <w:tcW w:w="2340" w:type="dxa"/>
          </w:tcPr>
          <w:p w14:paraId="0A3B888A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183.851[166]</w:t>
            </w:r>
          </w:p>
        </w:tc>
        <w:tc>
          <w:tcPr>
            <w:tcW w:w="2340" w:type="dxa"/>
          </w:tcPr>
          <w:p w14:paraId="28F1D599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Crítica (OT)[166]</w:t>
            </w:r>
          </w:p>
        </w:tc>
        <w:tc>
          <w:tcPr>
            <w:tcW w:w="2340" w:type="dxa"/>
          </w:tcPr>
          <w:p w14:paraId="609C22A6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[166][59]</w:t>
            </w:r>
          </w:p>
        </w:tc>
      </w:tr>
      <w:tr w:rsidR="008256E9" w14:paraId="06C8EEE7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3AE2C18" w14:textId="77777777" w:rsidR="008256E9" w:rsidRDefault="00000000">
            <w:pPr>
              <w:keepNext/>
              <w:keepLines/>
            </w:pPr>
            <w:r>
              <w:t>Phishing Cases</w:t>
            </w:r>
          </w:p>
        </w:tc>
        <w:tc>
          <w:tcPr>
            <w:tcW w:w="2340" w:type="dxa"/>
          </w:tcPr>
          <w:p w14:paraId="1BDE4619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21.751[173]</w:t>
            </w:r>
          </w:p>
        </w:tc>
        <w:tc>
          <w:tcPr>
            <w:tcW w:w="2340" w:type="dxa"/>
          </w:tcPr>
          <w:p w14:paraId="3933FB75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22% del total[173]</w:t>
            </w:r>
          </w:p>
        </w:tc>
        <w:tc>
          <w:tcPr>
            <w:tcW w:w="2340" w:type="dxa"/>
          </w:tcPr>
          <w:p w14:paraId="1A429132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[173]</w:t>
            </w:r>
          </w:p>
        </w:tc>
      </w:tr>
      <w:tr w:rsidR="008256E9" w14:paraId="7EF93987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81CF2F" w14:textId="77777777" w:rsidR="008256E9" w:rsidRDefault="00000000">
            <w:pPr>
              <w:keepLines/>
            </w:pPr>
            <w:r>
              <w:t>Malware Cases</w:t>
            </w:r>
          </w:p>
        </w:tc>
        <w:tc>
          <w:tcPr>
            <w:tcW w:w="2340" w:type="dxa"/>
          </w:tcPr>
          <w:p w14:paraId="3FF631EA" w14:textId="77777777" w:rsidR="008256E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42.136[166]</w:t>
            </w:r>
          </w:p>
        </w:tc>
        <w:tc>
          <w:tcPr>
            <w:tcW w:w="2340" w:type="dxa"/>
          </w:tcPr>
          <w:p w14:paraId="62E5B0CD" w14:textId="77777777" w:rsidR="008256E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Incluyendo 357 ransomware[166]</w:t>
            </w:r>
          </w:p>
        </w:tc>
        <w:tc>
          <w:tcPr>
            <w:tcW w:w="2340" w:type="dxa"/>
          </w:tcPr>
          <w:p w14:paraId="20BC9DAA" w14:textId="77777777" w:rsidR="008256E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[166]</w:t>
            </w:r>
          </w:p>
        </w:tc>
      </w:tr>
    </w:tbl>
    <w:p w14:paraId="3A20E7C7" w14:textId="77777777" w:rsidR="008256E9" w:rsidRDefault="008256E9"/>
    <w:p w14:paraId="1B68A12D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Análisis</w:t>
      </w:r>
      <w:r w:rsidRPr="00635895">
        <w:rPr>
          <w:lang w:val="es-ES"/>
        </w:rPr>
        <w:t>[59][173]: 260 incidentes/día (11/hora); 54% consultas preventivas al 017[166]</w:t>
      </w:r>
    </w:p>
    <w:p w14:paraId="17FBF3B2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C. Capacidad Institucional: INCIBE</w:t>
      </w:r>
    </w:p>
    <w:p w14:paraId="37C0BDEB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Funciones</w:t>
      </w:r>
      <w:r w:rsidRPr="00635895">
        <w:rPr>
          <w:lang w:val="es-ES"/>
        </w:rPr>
        <w:t>[30][166]:</w:t>
      </w:r>
      <w:r w:rsidRPr="00635895">
        <w:rPr>
          <w:lang w:val="es-ES"/>
        </w:rPr>
        <w:br/>
        <w:t>- Respuesta incidentes (INCIBE-CERT): 97.348 gestionados 2024[166]</w:t>
      </w:r>
      <w:r w:rsidRPr="00635895">
        <w:rPr>
          <w:lang w:val="es-ES"/>
        </w:rPr>
        <w:br/>
        <w:t>- Supervisión NIS2 operadores críticos[166]</w:t>
      </w:r>
      <w:r w:rsidRPr="00635895">
        <w:rPr>
          <w:lang w:val="es-ES"/>
        </w:rPr>
        <w:br/>
        <w:t>- Investigación (Red RENIC)[56]</w:t>
      </w:r>
      <w:r w:rsidRPr="00635895">
        <w:rPr>
          <w:lang w:val="es-ES"/>
        </w:rPr>
        <w:br/>
        <w:t>- Capacitación (INCIBE Emprende, Hacker Academy)[30]</w:t>
      </w:r>
    </w:p>
    <w:p w14:paraId="7842BA6F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Fortalezas</w:t>
      </w:r>
      <w:r w:rsidRPr="00635895">
        <w:rPr>
          <w:lang w:val="es-ES"/>
        </w:rPr>
        <w:t>[56][166][167]:</w:t>
      </w:r>
      <w:r w:rsidRPr="00635895">
        <w:rPr>
          <w:lang w:val="es-ES"/>
        </w:rPr>
        <w:br/>
        <w:t>✓ Marco legal alineado EU[167]</w:t>
      </w:r>
      <w:r w:rsidRPr="00635895">
        <w:rPr>
          <w:lang w:val="es-ES"/>
        </w:rPr>
        <w:br/>
        <w:t>✓ Institución consolidada (20 años)[30]</w:t>
      </w:r>
      <w:r w:rsidRPr="00635895">
        <w:rPr>
          <w:lang w:val="es-ES"/>
        </w:rPr>
        <w:br/>
        <w:t>✓ AESIA creada con independencia orgánica[167]</w:t>
      </w:r>
      <w:r w:rsidRPr="00635895">
        <w:rPr>
          <w:lang w:val="es-ES"/>
        </w:rPr>
        <w:br/>
        <w:t>✓ Programa capacitación operativo[30][166]</w:t>
      </w:r>
    </w:p>
    <w:p w14:paraId="32F71AE7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lastRenderedPageBreak/>
        <w:t>Brechas</w:t>
      </w:r>
      <w:r w:rsidRPr="00635895">
        <w:rPr>
          <w:lang w:val="es-ES"/>
        </w:rPr>
        <w:t>[56][166]:</w:t>
      </w:r>
      <w:r w:rsidRPr="00635895">
        <w:rPr>
          <w:lang w:val="es-ES"/>
        </w:rPr>
        <w:br/>
        <w:t>⚠ Capacidad SMEs limitada (&gt;80% requieren asistencia)[62]</w:t>
      </w:r>
      <w:r w:rsidRPr="00635895">
        <w:rPr>
          <w:lang w:val="es-ES"/>
        </w:rPr>
        <w:br/>
        <w:t>⚠ Velocidad implementación desalineada calendarios políticos[171]</w:t>
      </w:r>
      <w:r w:rsidRPr="00635895">
        <w:rPr>
          <w:lang w:val="es-ES"/>
        </w:rPr>
        <w:br/>
        <w:t>⚠ Métricas IA aún en desarrollo (no hay estándares españoles vs NIST aún)</w:t>
      </w:r>
    </w:p>
    <w:p w14:paraId="4CCFDD05" w14:textId="77777777" w:rsidR="008256E9" w:rsidRPr="00635895" w:rsidRDefault="00000000">
      <w:pPr>
        <w:pStyle w:val="Ttulo2"/>
        <w:rPr>
          <w:lang w:val="es-ES"/>
        </w:rPr>
      </w:pPr>
      <w:r w:rsidRPr="00635895">
        <w:rPr>
          <w:color w:val="0066CC"/>
          <w:lang w:val="es-ES"/>
        </w:rPr>
        <w:t>V. RESILIENCIA DIGITAL + CONTINUIDAD NEGOCIO CON IA</w:t>
      </w:r>
    </w:p>
    <w:p w14:paraId="5D5EDF22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A. Datos Cuantitativos: Integración IA en Disaster Recovery[97][106]</w:t>
      </w:r>
    </w:p>
    <w:p w14:paraId="1BA2FEC9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Hallazgo IDC (2024)</w:t>
      </w:r>
      <w:r w:rsidRPr="00635895">
        <w:rPr>
          <w:lang w:val="es-ES"/>
        </w:rPr>
        <w:t xml:space="preserve">: Organizaciones con automatización IA-driven reportan </w:t>
      </w:r>
      <w:r w:rsidRPr="00635895">
        <w:rPr>
          <w:b/>
          <w:lang w:val="es-ES"/>
        </w:rPr>
        <w:t>€2.44M de ahorro promedio</w:t>
      </w:r>
      <w:r w:rsidRPr="00635895">
        <w:rPr>
          <w:lang w:val="es-ES"/>
        </w:rPr>
        <w:t>[97] en costos brechas; MTTR reducido 60-75%[97][109]</w:t>
      </w:r>
    </w:p>
    <w:p w14:paraId="571519EB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Métricas de Resiliencia</w:t>
      </w:r>
      <w:r w:rsidRPr="00635895">
        <w:rPr>
          <w:lang w:val="es-ES"/>
        </w:rPr>
        <w:t>[100][103]:</w:t>
      </w:r>
      <w:r w:rsidRPr="00635895">
        <w:rPr>
          <w:lang w:val="es-ES"/>
        </w:rPr>
        <w:br/>
        <w:t>- RTO (Recovery Time Objective): &lt; 4 horas sector energía[97]</w:t>
      </w:r>
      <w:r w:rsidRPr="00635895">
        <w:rPr>
          <w:lang w:val="es-ES"/>
        </w:rPr>
        <w:br/>
        <w:t>- RPO (Recovery Point Objective): &lt; 15 minutos[97]</w:t>
      </w:r>
      <w:r w:rsidRPr="00635895">
        <w:rPr>
          <w:lang w:val="es-ES"/>
        </w:rPr>
        <w:br/>
        <w:t>- Disponibilidad sistémica: ≥ 99.9% (máximo 8.76h downtime/año)[97]</w:t>
      </w:r>
      <w:r w:rsidRPr="00635895">
        <w:rPr>
          <w:lang w:val="es-ES"/>
        </w:rPr>
        <w:br/>
        <w:t>- MTTD (Mean Time To Detect): &lt; 15 minutos anomalías[97]</w:t>
      </w:r>
    </w:p>
    <w:p w14:paraId="5F902F5A" w14:textId="77777777" w:rsidR="008256E9" w:rsidRPr="00635895" w:rsidRDefault="00000000">
      <w:pPr>
        <w:pStyle w:val="Ttulo3"/>
        <w:rPr>
          <w:lang w:val="es-ES"/>
        </w:rPr>
      </w:pPr>
      <w:r w:rsidRPr="00635895">
        <w:rPr>
          <w:lang w:val="es-ES"/>
        </w:rPr>
        <w:t>B. Casos de Uso Sector Crítico España</w:t>
      </w:r>
    </w:p>
    <w:p w14:paraId="39756783" w14:textId="77777777" w:rsidR="008256E9" w:rsidRPr="00635895" w:rsidRDefault="00000000">
      <w:pPr>
        <w:pStyle w:val="Ttulo4"/>
        <w:rPr>
          <w:lang w:val="es-ES"/>
        </w:rPr>
      </w:pPr>
      <w:r w:rsidRPr="00635895">
        <w:rPr>
          <w:lang w:val="es-ES"/>
        </w:rPr>
        <w:t>Sector Energía: Red Eléctrica Ibérica, ENDESA, Iberdrola[124][130]</w:t>
      </w:r>
    </w:p>
    <w:p w14:paraId="6810E1EE" w14:textId="77777777" w:rsidR="008256E9" w:rsidRPr="00635895" w:rsidRDefault="00000000">
      <w:pPr>
        <w:rPr>
          <w:lang w:val="es-ES"/>
        </w:rPr>
      </w:pPr>
      <w:r w:rsidRPr="00635895">
        <w:rPr>
          <w:b/>
          <w:lang w:val="es-ES"/>
        </w:rPr>
        <w:t>Riesgo</w:t>
      </w:r>
      <w:r w:rsidRPr="00635895">
        <w:rPr>
          <w:lang w:val="es-ES"/>
        </w:rPr>
        <w:t>: SCADA compromise → blackout nacional (precedente: abril 2025, 4h outage, €300-500M impacto económico)[130][133]</w:t>
      </w:r>
    </w:p>
    <w:p w14:paraId="6AB86364" w14:textId="77777777" w:rsidR="008256E9" w:rsidRDefault="00000000">
      <w:r>
        <w:rPr>
          <w:b/>
        </w:rPr>
        <w:t>Implementación NIST</w:t>
      </w:r>
      <w:r>
        <w:t>[124][133]:</w:t>
      </w:r>
      <w:r>
        <w:br/>
        <w:t>- GOVERN: Políticas fail-safe, deshabilitación automática[133]</w:t>
      </w:r>
      <w:r>
        <w:br/>
        <w:t>- MAP: Stakeholder impact modeling, criticality assessment[124]</w:t>
      </w:r>
      <w:r>
        <w:br/>
        <w:t>- MEASURE: Anomaly detection OT networks (behavioral analytics)[124][127]</w:t>
      </w:r>
      <w:r>
        <w:br/>
        <w:t>- MANAGE: Recovery orchestration automática[133]</w:t>
      </w:r>
    </w:p>
    <w:p w14:paraId="3EC9DDCD" w14:textId="77777777" w:rsidR="008256E9" w:rsidRDefault="00000000">
      <w:r>
        <w:rPr>
          <w:b/>
        </w:rPr>
        <w:t>Amenazas IA-Específicas</w:t>
      </w:r>
      <w:r>
        <w:t>[124][127]:</w:t>
      </w:r>
      <w:r>
        <w:br/>
        <w:t>- Model drift en load forecasting[127]</w:t>
      </w:r>
      <w:r>
        <w:br/>
        <w:t>- Adversarial attacks en grid sensors[127]</w:t>
      </w:r>
      <w:r>
        <w:br/>
        <w:t>- Supply chain compromise en ICS software[127]</w:t>
      </w:r>
    </w:p>
    <w:p w14:paraId="614EDF95" w14:textId="77777777" w:rsidR="008256E9" w:rsidRDefault="00000000">
      <w:pPr>
        <w:pStyle w:val="Ttulo4"/>
      </w:pPr>
      <w:r>
        <w:t>Sector Salud: Hospitales Madrid/Barcelona[125][128]</w:t>
      </w:r>
    </w:p>
    <w:p w14:paraId="29E4365D" w14:textId="77777777" w:rsidR="008256E9" w:rsidRDefault="00000000">
      <w:r>
        <w:rPr>
          <w:b/>
        </w:rPr>
        <w:t>Riesgo</w:t>
      </w:r>
      <w:r>
        <w:t>: Ransomware diagnosis systems → unavailable workflows[125][128]</w:t>
      </w:r>
    </w:p>
    <w:p w14:paraId="33066275" w14:textId="77777777" w:rsidR="008256E9" w:rsidRDefault="00000000">
      <w:r>
        <w:rPr>
          <w:b/>
        </w:rPr>
        <w:t>Implementación NIST</w:t>
      </w:r>
      <w:r>
        <w:t>[125]:</w:t>
      </w:r>
      <w:r>
        <w:br/>
        <w:t>- MAP: Impact assessment (patient harm timeline)[125]</w:t>
      </w:r>
      <w:r>
        <w:br/>
        <w:t>- MEASURE: Stress testing bajo condiciones reales[125]</w:t>
      </w:r>
      <w:r>
        <w:br/>
        <w:t>- MANAGE: Incident playbook, patient communication &lt; 15 min[125]</w:t>
      </w:r>
    </w:p>
    <w:p w14:paraId="16FBDFB9" w14:textId="77777777" w:rsidR="008256E9" w:rsidRDefault="00000000">
      <w:r>
        <w:rPr>
          <w:b/>
        </w:rPr>
        <w:lastRenderedPageBreak/>
        <w:t>Criticidad</w:t>
      </w:r>
      <w:r>
        <w:t>: Segregación red imaging/laboratorio (air-gapped de EMR); daily backup verification; quarterly DR drills[125][128]</w:t>
      </w:r>
    </w:p>
    <w:p w14:paraId="57C27F0B" w14:textId="77777777" w:rsidR="008256E9" w:rsidRDefault="00000000">
      <w:pPr>
        <w:pStyle w:val="Ttulo4"/>
      </w:pPr>
      <w:r>
        <w:t>Sector Transporte: Renfe, Aeropuertos, Puertos[136]</w:t>
      </w:r>
    </w:p>
    <w:p w14:paraId="5B90A3BC" w14:textId="77777777" w:rsidR="008256E9" w:rsidRDefault="00000000">
      <w:r>
        <w:rPr>
          <w:b/>
        </w:rPr>
        <w:t>Riesgo</w:t>
      </w:r>
      <w:r>
        <w:t>: IA navegación/scheduling comprometida → disruption masiva[136]</w:t>
      </w:r>
    </w:p>
    <w:p w14:paraId="56E63BDC" w14:textId="77777777" w:rsidR="008256E9" w:rsidRDefault="00000000">
      <w:r>
        <w:rPr>
          <w:b/>
        </w:rPr>
        <w:t>Implementación NIST</w:t>
      </w:r>
      <w:r>
        <w:t>[136]:</w:t>
      </w:r>
      <w:r>
        <w:br/>
        <w:t>- Secure: Model integrity verification pre-deployment[136]</w:t>
      </w:r>
      <w:r>
        <w:br/>
        <w:t>- Defend: IA defensiva detección patrones ataque[136]</w:t>
      </w:r>
      <w:r>
        <w:br/>
        <w:t>- Thwart: Redundancia + human override &lt; 2 min[136]</w:t>
      </w:r>
    </w:p>
    <w:p w14:paraId="59935B96" w14:textId="77777777" w:rsidR="008256E9" w:rsidRDefault="00000000">
      <w:pPr>
        <w:pStyle w:val="Ttulo2"/>
      </w:pPr>
      <w:r>
        <w:rPr>
          <w:color w:val="0066CC"/>
        </w:rPr>
        <w:t>VI. RECOMENDACIONES ESTRATÉGICAS ESPAÑA 2026-2028</w:t>
      </w:r>
    </w:p>
    <w:p w14:paraId="052D5C38" w14:textId="77777777" w:rsidR="008256E9" w:rsidRDefault="00000000">
      <w:pPr>
        <w:pStyle w:val="Ttulo3"/>
      </w:pPr>
      <w:r>
        <w:t>Para Autoridades Regulatorias (AESIA, INCIBE, SEDIA)</w:t>
      </w:r>
    </w:p>
    <w:p w14:paraId="383771D6" w14:textId="77777777" w:rsidR="008256E9" w:rsidRDefault="00000000">
      <w:r>
        <w:rPr>
          <w:b/>
        </w:rPr>
        <w:t>1. Publicar Guía Mapeo NIST → EU AI Act</w:t>
      </w:r>
      <w:r>
        <w:t xml:space="preserve"> (Target: Q2 2026)[49][52]</w:t>
      </w:r>
      <w:r>
        <w:br/>
        <w:t>- Checklist conformidad dual (GOVERN 1-3 ↔ EU AI Act Art. 28-99)[49][52]</w:t>
      </w:r>
      <w:r>
        <w:br/>
        <w:t>- Ejemplos sector-específicos (sanitario, energía, transporte)[49]</w:t>
      </w:r>
      <w:r>
        <w:br/>
        <w:t>- FAQs ambigüedades regulatorias[49]</w:t>
      </w:r>
    </w:p>
    <w:p w14:paraId="42170000" w14:textId="77777777" w:rsidR="008256E9" w:rsidRDefault="00000000">
      <w:r>
        <w:rPr>
          <w:b/>
        </w:rPr>
        <w:t>2. Extender ENS con AI-Specific Controls</w:t>
      </w:r>
      <w:r>
        <w:t xml:space="preserve"> (Target: Q4 2026)</w:t>
      </w:r>
      <w:r>
        <w:br/>
        <w:t>- Integrar MEASURE function de NIST[77][4]</w:t>
      </w:r>
      <w:r>
        <w:br/>
        <w:t>- Requerir documentación trustworthiness (audit trail 100%, Model Card)[4]</w:t>
      </w:r>
      <w:r>
        <w:br/>
        <w:t>- Audit protocol de evaluación independiente</w:t>
      </w:r>
    </w:p>
    <w:p w14:paraId="0767D100" w14:textId="77777777" w:rsidR="008256E9" w:rsidRDefault="00000000">
      <w:r>
        <w:rPr>
          <w:b/>
        </w:rPr>
        <w:t>3. Desarrollar Métricas por Sector</w:t>
      </w:r>
      <w:r>
        <w:t xml:space="preserve"> (Target: Q1 2027)</w:t>
      </w:r>
      <w:r>
        <w:br/>
        <w:t>- Energía: SCADA anomaly detection benchmarks[127]</w:t>
      </w:r>
      <w:r>
        <w:br/>
        <w:t>- Salud: Diagnosis accuracy/fairness thresholds[125][128]</w:t>
      </w:r>
      <w:r>
        <w:br/>
        <w:t>- Transporte: Safety metrics autonomous systems[136]</w:t>
      </w:r>
      <w:r>
        <w:br/>
        <w:t>- Finanzas: Credit scoring fairness, fraud detection robustness[123][129]</w:t>
      </w:r>
      <w:r>
        <w:br/>
        <w:t>- Publicar anualmente (similar CIS Benchmarks)[135]</w:t>
      </w:r>
    </w:p>
    <w:p w14:paraId="34C9AE0A" w14:textId="77777777" w:rsidR="008256E9" w:rsidRDefault="00000000">
      <w:pPr>
        <w:pStyle w:val="Ttulo3"/>
      </w:pPr>
      <w:r>
        <w:t>Para Sector Privado (Operadores Críticos &amp; SMEs)</w:t>
      </w:r>
    </w:p>
    <w:p w14:paraId="38268296" w14:textId="77777777" w:rsidR="008256E9" w:rsidRDefault="00000000">
      <w:r>
        <w:rPr>
          <w:b/>
        </w:rPr>
        <w:t>Track 1: Operadores Esenciales</w:t>
      </w:r>
      <w:r>
        <w:t xml:space="preserve"> (Pre-implementación antes 2027)</w:t>
      </w:r>
      <w:r>
        <w:br/>
        <w:t>1. Formar AI Governance Committee (Board-level oversight)[155][156]</w:t>
      </w:r>
      <w:r>
        <w:br/>
        <w:t>2. Documentar inventario sistemas IA (risk tier)[155][156]</w:t>
      </w:r>
      <w:r>
        <w:br/>
        <w:t>3. Establecer risk tolerance statements[155][156]</w:t>
      </w:r>
      <w:r>
        <w:br/>
        <w:t>4. Implementar GOVERN + MAP → baseline compliance Q2 2026[155][156]</w:t>
      </w:r>
    </w:p>
    <w:p w14:paraId="386C7CE0" w14:textId="77777777" w:rsidR="008256E9" w:rsidRDefault="00000000">
      <w:r>
        <w:rPr>
          <w:b/>
        </w:rPr>
        <w:t>Track 2: Programa Acelerado SMEs</w:t>
      </w:r>
      <w:r>
        <w:t xml:space="preserve"> (Cohort 1: Q3 2026)[155][156]</w:t>
      </w:r>
      <w:r>
        <w:br/>
        <w:t>1. INCIBE financing: €50-100K grants per SME[155]</w:t>
      </w:r>
      <w:r>
        <w:br/>
        <w:t>2. Peer mentoring: Large orgs → SME partners (6-month engagement)[155]</w:t>
      </w:r>
      <w:r>
        <w:br/>
        <w:t>3. Certificación madurez IA: Roadmap ISO/IEC 42001 (2027-2028)[155][156]</w:t>
      </w:r>
    </w:p>
    <w:p w14:paraId="34FF62AF" w14:textId="77777777" w:rsidR="008256E9" w:rsidRDefault="00000000">
      <w:r>
        <w:rPr>
          <w:b/>
        </w:rPr>
        <w:lastRenderedPageBreak/>
        <w:t>Track 3: Supply Chain Security</w:t>
      </w:r>
      <w:r>
        <w:t xml:space="preserve"> (Iniciativa immediata Q1 2026)[142][147]</w:t>
      </w:r>
      <w:r>
        <w:br/>
        <w:t>1. Auditar modelos pre-entrenados (provenance, integrity)[142][147]</w:t>
      </w:r>
      <w:r>
        <w:br/>
        <w:t>2. Implementar ML-BOM para todas dependencias third-party[142]</w:t>
      </w:r>
      <w:r>
        <w:br/>
        <w:t>3. Participar threat intelligence sharing (INCIBE-CERT)[147][166]</w:t>
      </w:r>
    </w:p>
    <w:p w14:paraId="4479AE16" w14:textId="77777777" w:rsidR="008256E9" w:rsidRDefault="00000000">
      <w:pPr>
        <w:pStyle w:val="Ttulo3"/>
      </w:pPr>
      <w:r>
        <w:t>Para Academia &amp; I+D</w:t>
      </w:r>
    </w:p>
    <w:p w14:paraId="0B186C05" w14:textId="77777777" w:rsidR="008256E9" w:rsidRDefault="00000000">
      <w:r>
        <w:rPr>
          <w:b/>
        </w:rPr>
        <w:t>1. Centros Excelencia NIST</w:t>
      </w:r>
      <w:r>
        <w:t xml:space="preserve"> (Target: Q3 2026)[56][152][154]</w:t>
      </w:r>
      <w:r>
        <w:br/>
        <w:t>- UAM, UPM, UC3M: Labs de evaluación NIST RMF[152]</w:t>
      </w:r>
      <w:r>
        <w:br/>
        <w:t>- Investigación métricas fairness/robustness contextualizadas[152]</w:t>
      </w:r>
      <w:r>
        <w:br/>
        <w:t>- Publicaciones (NDSS, USENIX Security, AAAI/FAccT)[152]</w:t>
      </w:r>
    </w:p>
    <w:p w14:paraId="42F4B01E" w14:textId="77777777" w:rsidR="008256E9" w:rsidRDefault="00000000">
      <w:r>
        <w:rPr>
          <w:b/>
        </w:rPr>
        <w:t>2. Proyectos CDTI Alineados</w:t>
      </w:r>
      <w:r>
        <w:t xml:space="preserve"> (Target: Convocatoria Q2 2026)</w:t>
      </w:r>
      <w:r>
        <w:br/>
        <w:t>- "Detección Data Poisoning en Cadena Suministro IA"[89][142]</w:t>
      </w:r>
      <w:r>
        <w:br/>
        <w:t>- "Auditoría Model Extraction: Defensas y Detección"[95]</w:t>
      </w:r>
      <w:r>
        <w:br/>
        <w:t>- "Resiliencia IA Infraestructura Crítica"[97][106]</w:t>
      </w:r>
      <w:r>
        <w:br/>
        <w:t>- Presupuesto: €2-5M por proyecto[152]</w:t>
      </w:r>
    </w:p>
    <w:p w14:paraId="4015407F" w14:textId="77777777" w:rsidR="008256E9" w:rsidRDefault="00000000">
      <w:r>
        <w:rPr>
          <w:b/>
        </w:rPr>
        <w:t>3. Colaboración Internacional</w:t>
      </w:r>
      <w:r>
        <w:t xml:space="preserve"> (Año completo)</w:t>
      </w:r>
      <w:r>
        <w:br/>
        <w:t>- Participación AIRC (NIST AI Resource Center)[108]</w:t>
      </w:r>
      <w:r>
        <w:br/>
        <w:t>- Benchmarking vs. Alemania (BSI), Francia (ANSSI), Holanda (NCSC)[44]</w:t>
      </w:r>
      <w:r>
        <w:br/>
        <w:t>- Standardization (ISO/IEC working groups)[151]</w:t>
      </w:r>
    </w:p>
    <w:p w14:paraId="0A581A90" w14:textId="77777777" w:rsidR="008256E9" w:rsidRDefault="00000000">
      <w:pPr>
        <w:pStyle w:val="Ttulo2"/>
      </w:pPr>
      <w:r>
        <w:rPr>
          <w:color w:val="0066CC"/>
        </w:rPr>
        <w:t>VII. ROADMAP IMPLEMENTACIÓN ESPAÑA 18-24 MESES</w:t>
      </w:r>
    </w:p>
    <w:p w14:paraId="70FFB24B" w14:textId="77777777" w:rsidR="008256E9" w:rsidRDefault="00000000">
      <w:pPr>
        <w:pStyle w:val="Ttulo3"/>
      </w:pPr>
      <w:r>
        <w:t>Fase 1: Cimientos (Meses 1-6)</w:t>
      </w:r>
    </w:p>
    <w:p w14:paraId="1C67D8FD" w14:textId="77777777" w:rsidR="008256E9" w:rsidRDefault="00000000">
      <w:r>
        <w:rPr>
          <w:b/>
        </w:rPr>
        <w:t>Mes 1-2</w:t>
      </w:r>
      <w:r>
        <w:t>: Gap Analysis + Governance Setup[111][155]</w:t>
      </w:r>
      <w:r>
        <w:br/>
        <w:t>- INCIBE/AESIA: Publicar guía mapeo NIST → EU AI Act[155]</w:t>
      </w:r>
      <w:r>
        <w:br/>
        <w:t>- Constituir AI Risk Committees (operadores críticos)[155][161]</w:t>
      </w:r>
      <w:r>
        <w:br/>
        <w:t>- Formar centros evaluación (UAM, UPM, UC3M)[152]</w:t>
      </w:r>
    </w:p>
    <w:p w14:paraId="56FC3168" w14:textId="77777777" w:rsidR="008256E9" w:rsidRDefault="00000000">
      <w:r>
        <w:rPr>
          <w:b/>
        </w:rPr>
        <w:t>Mes 3-4</w:t>
      </w:r>
      <w:r>
        <w:t>: MAP + Inventory Creation[111][116]</w:t>
      </w:r>
      <w:r>
        <w:br/>
        <w:t>- AI Use Case Inventory (high-risk + critical infrastructure)[116]</w:t>
      </w:r>
      <w:r>
        <w:br/>
        <w:t>- Stakeholder mapping[116]</w:t>
      </w:r>
      <w:r>
        <w:br/>
        <w:t>- Data governance baseline[111]</w:t>
      </w:r>
    </w:p>
    <w:p w14:paraId="24005845" w14:textId="77777777" w:rsidR="008256E9" w:rsidRDefault="00000000">
      <w:r>
        <w:rPr>
          <w:b/>
        </w:rPr>
        <w:t>Mes 5-6</w:t>
      </w:r>
      <w:r>
        <w:t>: MEASURE Baseline[111][163]</w:t>
      </w:r>
      <w:r>
        <w:br/>
        <w:t>- Seleccionar métricas iniciales[163]</w:t>
      </w:r>
      <w:r>
        <w:br/>
        <w:t>- Pre-deployment testing protocols (TEVV)[111][163]</w:t>
      </w:r>
      <w:r>
        <w:br/>
        <w:t>- Capacitación técnica[111]</w:t>
      </w:r>
    </w:p>
    <w:p w14:paraId="3C4721B6" w14:textId="77777777" w:rsidR="008256E9" w:rsidRDefault="00000000">
      <w:pPr>
        <w:pStyle w:val="Ttulo3"/>
      </w:pPr>
      <w:r>
        <w:t>Fase 2: Operacionalización (Meses 7-12)</w:t>
      </w:r>
    </w:p>
    <w:p w14:paraId="0FE52A5F" w14:textId="77777777" w:rsidR="008256E9" w:rsidRDefault="00000000">
      <w:r>
        <w:rPr>
          <w:b/>
        </w:rPr>
        <w:t>Mes 7-8</w:t>
      </w:r>
      <w:r>
        <w:t>: Pilot Deployments (3-5 sistemas críticos)[96][155]</w:t>
      </w:r>
      <w:r>
        <w:br/>
        <w:t>- Hospital (diagnostics)[125]</w:t>
      </w:r>
      <w:r>
        <w:br/>
      </w:r>
      <w:r>
        <w:lastRenderedPageBreak/>
        <w:t>- Banco (credit scoring)[123][129]</w:t>
      </w:r>
      <w:r>
        <w:br/>
        <w:t>- Utility (SCADA anomaly)[127]</w:t>
      </w:r>
      <w:r>
        <w:br/>
        <w:t>- Model Cards, incident playbooks[96][155]</w:t>
      </w:r>
    </w:p>
    <w:p w14:paraId="65973D86" w14:textId="77777777" w:rsidR="008256E9" w:rsidRDefault="00000000">
      <w:r>
        <w:rPr>
          <w:b/>
        </w:rPr>
        <w:t>Mes 9-10</w:t>
      </w:r>
      <w:r>
        <w:t>: Supply Chain Hardening[142][147]</w:t>
      </w:r>
      <w:r>
        <w:br/>
        <w:t>- ML-BOM para third-party models[142]</w:t>
      </w:r>
      <w:r>
        <w:br/>
        <w:t>- Auditoría HuggingFace/PyPI (malicious packages)[138][143][144]</w:t>
      </w:r>
      <w:r>
        <w:br/>
        <w:t>- Vendor security requirements[142][147]</w:t>
      </w:r>
    </w:p>
    <w:p w14:paraId="762034AA" w14:textId="77777777" w:rsidR="008256E9" w:rsidRDefault="00000000">
      <w:r>
        <w:rPr>
          <w:b/>
        </w:rPr>
        <w:t>Mes 11-12</w:t>
      </w:r>
      <w:r>
        <w:t>: Portfolio Governance[155][161]</w:t>
      </w:r>
      <w:r>
        <w:br/>
        <w:t>- Risk dashboard operativo (KPIs)[155][161]</w:t>
      </w:r>
      <w:r>
        <w:br/>
        <w:t>- Board reporting template[155][161]</w:t>
      </w:r>
      <w:r>
        <w:br/>
        <w:t>- Q4 risk assessment portfolio[155]</w:t>
      </w:r>
    </w:p>
    <w:p w14:paraId="4C9148AE" w14:textId="77777777" w:rsidR="008256E9" w:rsidRDefault="00000000">
      <w:pPr>
        <w:pStyle w:val="Ttulo3"/>
      </w:pPr>
      <w:r>
        <w:t>Fase 3: Escala + Continuidad (Meses 13-24)</w:t>
      </w:r>
    </w:p>
    <w:p w14:paraId="7C9E1CD7" w14:textId="77777777" w:rsidR="008256E9" w:rsidRDefault="00000000">
      <w:r>
        <w:rPr>
          <w:b/>
        </w:rPr>
        <w:t>Mes 13-18</w:t>
      </w:r>
      <w:r>
        <w:t>: Expansion SMEs[155][156]</w:t>
      </w:r>
      <w:r>
        <w:br/>
        <w:t>- INCIBE financing €50-100K per SME[155]</w:t>
      </w:r>
      <w:r>
        <w:br/>
        <w:t>- Peer mentoring[155]</w:t>
      </w:r>
      <w:r>
        <w:br/>
        <w:t>- Certificación madurez: ISO/IEC 42001 roadmap[156]</w:t>
      </w:r>
    </w:p>
    <w:p w14:paraId="58C557F2" w14:textId="77777777" w:rsidR="008256E9" w:rsidRDefault="00000000">
      <w:r>
        <w:rPr>
          <w:b/>
        </w:rPr>
        <w:t>Mes 19-24</w:t>
      </w:r>
      <w:r>
        <w:t>: EU AI Act Full Compliance[171]</w:t>
      </w:r>
      <w:r>
        <w:br/>
        <w:t>- AESIA audits (Art. 28-99 operativo Q2 2026)[171]</w:t>
      </w:r>
      <w:r>
        <w:br/>
        <w:t>- Todos sistemas high-risk documentados + auditable[155][171]</w:t>
      </w:r>
      <w:r>
        <w:br/>
        <w:t>- Harmonization Francia (ANSSI), Alemania (BSI)[44]</w:t>
      </w:r>
    </w:p>
    <w:p w14:paraId="25CBB1B6" w14:textId="77777777" w:rsidR="008256E9" w:rsidRDefault="00000000">
      <w:pPr>
        <w:pStyle w:val="Ttulo2"/>
      </w:pPr>
      <w:r>
        <w:rPr>
          <w:color w:val="0066CC"/>
        </w:rPr>
        <w:t>VIII. CONCLUSIONES Y OUTLOOK 2026-2028</w:t>
      </w:r>
    </w:p>
    <w:p w14:paraId="126D61F2" w14:textId="77777777" w:rsidR="008256E9" w:rsidRDefault="00000000">
      <w:pPr>
        <w:pStyle w:val="Ttulo3"/>
      </w:pPr>
      <w:r>
        <w:t>Síntesis Estratégica</w:t>
      </w:r>
    </w:p>
    <w:p w14:paraId="095337B1" w14:textId="77777777" w:rsidR="008256E9" w:rsidRDefault="00000000">
      <w:r>
        <w:t xml:space="preserve">España está </w:t>
      </w:r>
      <w:r>
        <w:rPr>
          <w:b/>
        </w:rPr>
        <w:t>bien posicionada para adoptar NIST AI RMF como herramienta técnica de implementación</w:t>
      </w:r>
      <w:r>
        <w:t xml:space="preserve"> del EU AI Act[49][52]. Convergencia de:</w:t>
      </w:r>
    </w:p>
    <w:p w14:paraId="588C2C4F" w14:textId="77777777" w:rsidR="008256E9" w:rsidRDefault="00000000">
      <w:pPr>
        <w:pStyle w:val="Listaconnmeros"/>
        <w:keepNext/>
        <w:keepLines/>
      </w:pPr>
      <w:r>
        <w:t>Madurez normativa: AESIA operativa[167], INCIBE consolidada[166], ENS actualizable[4][77]</w:t>
      </w:r>
    </w:p>
    <w:p w14:paraId="148CB695" w14:textId="77777777" w:rsidR="008256E9" w:rsidRDefault="00000000">
      <w:pPr>
        <w:pStyle w:val="Listaconnmeros"/>
        <w:keepNext/>
        <w:keepLines/>
      </w:pPr>
      <w:r>
        <w:t>Inversión creciente: €1.157M 2025-2026[37] (suficiente para iniciar, insuficiente para escala masiva)</w:t>
      </w:r>
    </w:p>
    <w:p w14:paraId="75452A79" w14:textId="77777777" w:rsidR="008256E9" w:rsidRDefault="00000000">
      <w:pPr>
        <w:pStyle w:val="Listaconnmeros"/>
        <w:keepLines/>
      </w:pPr>
      <w:r>
        <w:t>Capacidad institucional: Red RENIC[56], centros excelencia (UAM, UPM), programas capacitación[30]</w:t>
      </w:r>
    </w:p>
    <w:p w14:paraId="797B5492" w14:textId="77777777" w:rsidR="008256E9" w:rsidRDefault="00000000">
      <w:pPr>
        <w:pStyle w:val="Ttulo3"/>
      </w:pPr>
      <w:r>
        <w:lastRenderedPageBreak/>
        <w:t>Riesgos Residuales No Mitigados</w:t>
      </w:r>
    </w:p>
    <w:p w14:paraId="0B68658B" w14:textId="77777777" w:rsidR="008256E9" w:rsidRDefault="00000000">
      <w:pPr>
        <w:pStyle w:val="Listaconnmeros"/>
        <w:keepNext/>
        <w:keepLines/>
      </w:pPr>
      <w:r>
        <w:t>Velocity Gap: Amenazas IA evolucionan más rápido que regulación (6+ meses típicamente)[81][85][86]</w:t>
      </w:r>
    </w:p>
    <w:p w14:paraId="3F0C4CC1" w14:textId="77777777" w:rsidR="008256E9" w:rsidRDefault="00000000">
      <w:pPr>
        <w:pStyle w:val="Listaconnmeros"/>
        <w:keepNext/>
        <w:keepLines/>
      </w:pPr>
      <w:r>
        <w:t>SME Capacity Gap: 80% SMEs requieren asistencia técnica intensiva (costo: €100K+ per org)[62]</w:t>
      </w:r>
    </w:p>
    <w:p w14:paraId="55E957FC" w14:textId="77777777" w:rsidR="008256E9" w:rsidRDefault="00000000">
      <w:pPr>
        <w:pStyle w:val="Listaconnmeros"/>
        <w:keepLines/>
      </w:pPr>
      <w:r>
        <w:t>Supply Chain Opacity: Paquetes malignos PyPI/HuggingFace aún no diferenciables confiablemente pre-deploy[137][138][143]</w:t>
      </w:r>
    </w:p>
    <w:p w14:paraId="73E15083" w14:textId="77777777" w:rsidR="008256E9" w:rsidRDefault="00000000">
      <w:pPr>
        <w:pStyle w:val="Ttulo3"/>
      </w:pPr>
      <w:r>
        <w:t>Timeline Crítico: Hitos Inmediatos 2026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256E9" w14:paraId="11300489" w14:textId="77777777" w:rsidTr="00825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25DA95FF" w14:textId="77777777" w:rsidR="008256E9" w:rsidRDefault="00000000">
            <w:pPr>
              <w:keepNext/>
              <w:keepLines/>
            </w:pPr>
            <w:r>
              <w:rPr>
                <w:color w:val="FFFFFF"/>
              </w:rPr>
              <w:t>Fecha</w:t>
            </w:r>
          </w:p>
        </w:tc>
        <w:tc>
          <w:tcPr>
            <w:tcW w:w="2340" w:type="dxa"/>
            <w:shd w:val="clear" w:color="auto" w:fill="0033CC"/>
          </w:tcPr>
          <w:p w14:paraId="4DB91A66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Responsable</w:t>
            </w:r>
          </w:p>
        </w:tc>
        <w:tc>
          <w:tcPr>
            <w:tcW w:w="2340" w:type="dxa"/>
            <w:shd w:val="clear" w:color="auto" w:fill="0033CC"/>
          </w:tcPr>
          <w:p w14:paraId="51368ED3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Entregable</w:t>
            </w:r>
          </w:p>
        </w:tc>
        <w:tc>
          <w:tcPr>
            <w:tcW w:w="2340" w:type="dxa"/>
            <w:shd w:val="clear" w:color="auto" w:fill="0033CC"/>
          </w:tcPr>
          <w:p w14:paraId="35121157" w14:textId="77777777" w:rsidR="008256E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Impacto</w:t>
            </w:r>
          </w:p>
        </w:tc>
      </w:tr>
      <w:tr w:rsidR="008256E9" w14:paraId="3AE7586C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A2AABA5" w14:textId="77777777" w:rsidR="008256E9" w:rsidRDefault="00000000">
            <w:pPr>
              <w:keepNext/>
              <w:keepLines/>
            </w:pPr>
            <w:r>
              <w:t>Feb 2026</w:t>
            </w:r>
          </w:p>
        </w:tc>
        <w:tc>
          <w:tcPr>
            <w:tcW w:w="2340" w:type="dxa"/>
          </w:tcPr>
          <w:p w14:paraId="5207DBC4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AESIA</w:t>
            </w:r>
          </w:p>
        </w:tc>
        <w:tc>
          <w:tcPr>
            <w:tcW w:w="2340" w:type="dxa"/>
          </w:tcPr>
          <w:p w14:paraId="1286CD97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Entrada vigencia EU AI Act operativa[171]</w:t>
            </w:r>
          </w:p>
        </w:tc>
        <w:tc>
          <w:tcPr>
            <w:tcW w:w="2340" w:type="dxa"/>
          </w:tcPr>
          <w:p w14:paraId="5889D619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Conformidad legal inmediata</w:t>
            </w:r>
          </w:p>
        </w:tc>
      </w:tr>
      <w:tr w:rsidR="008256E9" w14:paraId="71C1F79D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37EAD2" w14:textId="77777777" w:rsidR="008256E9" w:rsidRDefault="00000000">
            <w:pPr>
              <w:keepNext/>
              <w:keepLines/>
            </w:pPr>
            <w:r>
              <w:t>Abril 2026</w:t>
            </w:r>
          </w:p>
        </w:tc>
        <w:tc>
          <w:tcPr>
            <w:tcW w:w="2340" w:type="dxa"/>
          </w:tcPr>
          <w:p w14:paraId="74384DFB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INCIBE/SEDIA</w:t>
            </w:r>
          </w:p>
        </w:tc>
        <w:tc>
          <w:tcPr>
            <w:tcW w:w="2340" w:type="dxa"/>
          </w:tcPr>
          <w:p w14:paraId="2F149244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Guía NIST → EU AI Act[155]</w:t>
            </w:r>
          </w:p>
        </w:tc>
        <w:tc>
          <w:tcPr>
            <w:tcW w:w="2340" w:type="dxa"/>
          </w:tcPr>
          <w:p w14:paraId="433C0CC0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Reduce ambigüedad (3-6m aceleración)</w:t>
            </w:r>
          </w:p>
        </w:tc>
      </w:tr>
      <w:tr w:rsidR="008256E9" w14:paraId="007739F7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454862" w14:textId="77777777" w:rsidR="008256E9" w:rsidRDefault="00000000">
            <w:pPr>
              <w:keepNext/>
              <w:keepLines/>
            </w:pPr>
            <w:r>
              <w:t>Junio 2026</w:t>
            </w:r>
          </w:p>
        </w:tc>
        <w:tc>
          <w:tcPr>
            <w:tcW w:w="2340" w:type="dxa"/>
          </w:tcPr>
          <w:p w14:paraId="31F6A54E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Sector Privado</w:t>
            </w:r>
          </w:p>
        </w:tc>
        <w:tc>
          <w:tcPr>
            <w:tcW w:w="2340" w:type="dxa"/>
          </w:tcPr>
          <w:p w14:paraId="5E3062AC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Auto-auditoría systems high-risk[155]</w:t>
            </w:r>
          </w:p>
        </w:tc>
        <w:tc>
          <w:tcPr>
            <w:tcW w:w="2340" w:type="dxa"/>
          </w:tcPr>
          <w:p w14:paraId="01464950" w14:textId="77777777" w:rsidR="008256E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Visibility pre-AESIA enforcement</w:t>
            </w:r>
          </w:p>
        </w:tc>
      </w:tr>
      <w:tr w:rsidR="008256E9" w14:paraId="39152EFD" w14:textId="77777777" w:rsidTr="008256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8F7592C" w14:textId="77777777" w:rsidR="008256E9" w:rsidRDefault="00000000">
            <w:pPr>
              <w:keepNext/>
              <w:keepLines/>
            </w:pPr>
            <w:r>
              <w:t>Agosto 2026</w:t>
            </w:r>
          </w:p>
        </w:tc>
        <w:tc>
          <w:tcPr>
            <w:tcW w:w="2340" w:type="dxa"/>
          </w:tcPr>
          <w:p w14:paraId="4424EB46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Todo Sector</w:t>
            </w:r>
          </w:p>
        </w:tc>
        <w:tc>
          <w:tcPr>
            <w:tcW w:w="2340" w:type="dxa"/>
          </w:tcPr>
          <w:p w14:paraId="5762B85E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Art. 50 (transparencia usuarios)[171]</w:t>
            </w:r>
          </w:p>
        </w:tc>
        <w:tc>
          <w:tcPr>
            <w:tcW w:w="2340" w:type="dxa"/>
          </w:tcPr>
          <w:p w14:paraId="0147C31F" w14:textId="77777777" w:rsidR="008256E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Millones sistemas afectados</w:t>
            </w:r>
          </w:p>
        </w:tc>
      </w:tr>
      <w:tr w:rsidR="008256E9" w14:paraId="591B44EF" w14:textId="77777777" w:rsidTr="00825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CB8789F" w14:textId="77777777" w:rsidR="008256E9" w:rsidRDefault="00000000">
            <w:pPr>
              <w:keepLines/>
            </w:pPr>
            <w:r>
              <w:t>Q4 2026</w:t>
            </w:r>
          </w:p>
        </w:tc>
        <w:tc>
          <w:tcPr>
            <w:tcW w:w="2340" w:type="dxa"/>
          </w:tcPr>
          <w:p w14:paraId="4BF879D3" w14:textId="77777777" w:rsidR="008256E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NIST</w:t>
            </w:r>
          </w:p>
        </w:tc>
        <w:tc>
          <w:tcPr>
            <w:tcW w:w="2340" w:type="dxa"/>
          </w:tcPr>
          <w:p w14:paraId="16667C7B" w14:textId="77777777" w:rsidR="008256E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Cyber AI Profile final[72][80]</w:t>
            </w:r>
          </w:p>
        </w:tc>
        <w:tc>
          <w:tcPr>
            <w:tcW w:w="2340" w:type="dxa"/>
          </w:tcPr>
          <w:p w14:paraId="74C23294" w14:textId="77777777" w:rsidR="008256E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Guidance post-operacionalización</w:t>
            </w:r>
          </w:p>
        </w:tc>
      </w:tr>
    </w:tbl>
    <w:p w14:paraId="063077B1" w14:textId="77777777" w:rsidR="008256E9" w:rsidRDefault="008256E9"/>
    <w:p w14:paraId="0C6C863D" w14:textId="77777777" w:rsidR="008256E9" w:rsidRDefault="00000000">
      <w:pPr>
        <w:pStyle w:val="Ttulo2"/>
      </w:pPr>
      <w:r>
        <w:rPr>
          <w:color w:val="0066CC"/>
        </w:rPr>
        <w:t>REFERENCIAS BIBLIOGRÁFICAS</w:t>
      </w:r>
    </w:p>
    <w:p w14:paraId="3A6689D5" w14:textId="77777777" w:rsidR="008256E9" w:rsidRDefault="00000000">
      <w:r>
        <w:t>[2] AuditBoard (2025-01-13). "The Core Functions of the NIST AI RMF." https://auditboard.com/blog/nist-ai-rmf</w:t>
      </w:r>
      <w:r>
        <w:br/>
        <w:t>[4] Nemko Digital (2023-05-31). "NIST AI Risk Management Framework (AI RMF 1.0)." https://digital.nemko.com/regulations/nist-rmf</w:t>
      </w:r>
      <w:r>
        <w:br/>
        <w:t>[9] CyberSaint (2025-09-10). "How To Align with the NIST AI RMF: Step-by-Step Playbook." https://www.cybersaint.io/blog/nist-ai-rmf</w:t>
      </w:r>
      <w:r>
        <w:br/>
        <w:t>[13] The AI Alliance (2023-12-31). "NIST Artificial Intelligence Risk Management Framework." https://the-ai-alliance.github.io/trust-safety-user-guide</w:t>
      </w:r>
      <w:r>
        <w:br/>
        <w:t>[16] Scrut.io (2025-04-15). "NIST AI Risk Management: Key Insights &amp; Challenges." https://www.scrut.io/post/nist-ai-risk-management-framework</w:t>
      </w:r>
      <w:r>
        <w:br/>
        <w:t>[22] RSI Security (2025-12-01). "Roadmap to Achieving NIST AI RMF." https://blog.rsisecurity.com</w:t>
      </w:r>
      <w:r>
        <w:br/>
        <w:t>[30] INCIBE (2024-12-31). "What we do." https://www.incibe.es/en/incibe/corporate-information/what-we-do</w:t>
      </w:r>
      <w:r>
        <w:br/>
        <w:t>[35] Artificial Intelligence Act (2025-11-04). "Ley de Inteligencia Artificial de la UE." https://artificialintelligenceact.eu/es/</w:t>
      </w:r>
      <w:r>
        <w:br/>
        <w:t>[37] España (2025-09). "THE ARTIFICIAL INTELLIGENCE STRATEGY 2024." https://datos.gob.es</w:t>
      </w:r>
      <w:r>
        <w:br/>
        <w:t>[40] INCIBE (2026-01). "Digital Spain 2026 Strategy." https://www.incibe.es</w:t>
      </w:r>
      <w:r>
        <w:br/>
        <w:t xml:space="preserve">[44] Regulance (2025-12-15). "NIST vs EU AI Act: Which AI Risk Management Framework?" </w:t>
      </w:r>
      <w:r>
        <w:lastRenderedPageBreak/>
        <w:t>https://regulance.io</w:t>
      </w:r>
      <w:r>
        <w:br/>
        <w:t>[49] Regulance (2025-12-15). "NIST vs EU AI Act frameworks comparison." https://regulance.io</w:t>
      </w:r>
      <w:r>
        <w:br/>
        <w:t>[52] SoftwareSeni (2025-11-25). "EU AI Act NIST AI RMF and ISO 42001 Compared." https://www.softwareseni.com</w:t>
      </w:r>
      <w:r>
        <w:br/>
        <w:t>[56] NCSI (2025-09-14). "Spain - National Cyber Security Index." https://ncsi.ega.ee/country/es/</w:t>
      </w:r>
      <w:r>
        <w:br/>
        <w:t>[58] Flexxible (2025-05-13). "NIS2 Directive Spain: Cybersecurity Requirements 2025." https://www.flexxible.com</w:t>
      </w:r>
      <w:r>
        <w:br/>
        <w:t>[59] ZIUR (2025-06-02). "Spain recorded more than 97000 cybersecurity incidents in 2024." https://www.ziur.eus</w:t>
      </w:r>
      <w:r>
        <w:br/>
        <w:t>[62] Springboard35 (2025-04-14). "Cybersecurity in Spain: Challenges and Opportunities." https://springboard35.com</w:t>
      </w:r>
      <w:r>
        <w:br/>
        <w:t>[66] Vila (2025-02-23). "NEW REGULATION ON CYBERSECURITY. THE NIS2 DIRECTIVE AND ITS STATE OF APPLICATION IN SPAIN." https://vila.es</w:t>
      </w:r>
      <w:r>
        <w:br/>
        <w:t>[69] ENISA (2019). "National Cybersecurity Strategy 2019 - Spain." https://www.enisa.europa.eu</w:t>
      </w:r>
      <w:r>
        <w:br/>
        <w:t>[72] SiliconAngle (2025-12-17). "NIST releases draft AI cybersecurity framework profile." https://siliconangle.com</w:t>
      </w:r>
      <w:r>
        <w:br/>
        <w:t>[74] Stinson (2026-01-07). "New Guidance from NIST Demonstrates How Organizations Can Use AI for Cybersecurity." https://www.stinson.com</w:t>
      </w:r>
      <w:r>
        <w:br/>
        <w:t>[77] NIST (2024-02). "The NIST Cybersecurity Framework (CSF) 2.0." https://nvlpubs.nist.gov/nistpubs/CSWP/NIST.CSWP.29.pdf</w:t>
      </w:r>
      <w:r>
        <w:br/>
        <w:t>[80] Global Policy Watch (2026-01-05). "NIST Publishes Preliminary Draft of Cybersecurity Framework Profile for Artificial Intelligence." https://www.globalpolicywatch.com</w:t>
      </w:r>
      <w:r>
        <w:br/>
        <w:t>[81] ExtraHop (2026-01-01). "2025 Security Predictions: Attacks on the AI Supply Chain." https://www.extrahop.com</w:t>
      </w:r>
      <w:r>
        <w:br/>
        <w:t>[82] RSI Security (2025-11-17). "Generative Artificial Intelligence Risks &amp; NIST AI RMF Guide." https://blog.rsisecurity.com</w:t>
      </w:r>
      <w:r>
        <w:br/>
        <w:t>[85] Crowell (2026-01-12). "NIST Releases Draft Framework for AI Cybersecurity." https://www.crowell.com</w:t>
      </w:r>
      <w:r>
        <w:br/>
        <w:t>[86] Cloud Security Alliance (2025-11-30). "AI Security Threats: Prompt Injection &amp; Model Poisoning." https://cloudsecurityalliance.org</w:t>
      </w:r>
      <w:r>
        <w:br/>
        <w:t>[88] LEXIA (2024-06-05). "NIST's AI Profile: A Global AI Governance Benchmark." https://www.lexia.it</w:t>
      </w:r>
      <w:r>
        <w:br/>
        <w:t>[89] ArXiv (2025-03). "Detecting and Preventing Data Poisoning Attacks on AI Systems." https://arxiv.org/pdf</w:t>
      </w:r>
      <w:r>
        <w:br/>
        <w:t>[93] OWASP (2024-04-10). "LLM Risks Archive - OWASP Gen AI Security Project." https://genai.owasp.org/llm-top-10/</w:t>
      </w:r>
      <w:r>
        <w:br/>
        <w:t>[95] Office1 (2025-06-09). "AI Model Poisoning: What It Is, How It Works, and How to Prevent It." https://www.office1.com</w:t>
      </w:r>
      <w:r>
        <w:br/>
        <w:t>[96] NetSolutions (2025-11-16). "How to Implement NIST AI RMF for Enterprises: A Practical Guide." https://www.netsolutions.com</w:t>
      </w:r>
      <w:r>
        <w:br/>
        <w:t xml:space="preserve">[97] DRJ (2025-12-02). "How AI Is Redefining Both Business Risk and Resilience Strategy." </w:t>
      </w:r>
      <w:r>
        <w:lastRenderedPageBreak/>
        <w:t>https://drj.com</w:t>
      </w:r>
      <w:r>
        <w:br/>
        <w:t>[100] ISACA (2025-10-30). "Operational Resilience in the Age of Artificial Intelligence." https://www.isaca.org</w:t>
      </w:r>
      <w:r>
        <w:br/>
        <w:t>[103] Fusionrm (2025-04-07). "2025 Trends in Continuity and Resilience." https://www.fusionrm.com</w:t>
      </w:r>
      <w:r>
        <w:br/>
        <w:t>[106] Cristie (2024-09). "The State of Disaster Recovery and Cyber-Recovery, 2024-2025." https://www.cristie.com</w:t>
      </w:r>
      <w:r>
        <w:br/>
        <w:t>[108] NIST (2025-05-04). "AI Risk Management Framework." https://www.nist.gov</w:t>
      </w:r>
      <w:r>
        <w:br/>
        <w:t>[111] Dawgen Global (2023-12-31). "NIST AI RMF in Plain English: Govern, Map, Measure, Manage Done Right." https://www.dawgen.global</w:t>
      </w:r>
      <w:r>
        <w:br/>
        <w:t>[112] EPIC (2023-04-05). "Framing the Risk Management Framework: Actionable Instructions by NIST in the MAP section." https://epic.org</w:t>
      </w:r>
      <w:r>
        <w:br/>
        <w:t>[116] Scrut.io (2024-10-31). "NIST AI RMF Map Function Overview." https://www.scrut.io</w:t>
      </w:r>
      <w:r>
        <w:br/>
        <w:t>[123] IMF (2024-07-31). "Spain: Financial Sector Assessment Program-Technical Note." https://www.elibrary.imf.org</w:t>
      </w:r>
      <w:r>
        <w:br/>
        <w:t>[124] GreenPowerMonitor (2025-07-30). "Building Resilient SCADA monitor systems." https://www.greenpowermonitor.com</w:t>
      </w:r>
      <w:r>
        <w:br/>
        <w:t>[125] LinkedIn (2026-01-11). "Spain AI in Hospital Management Market Outlook 2026." https://www.linkedin.com</w:t>
      </w:r>
      <w:r>
        <w:br/>
        <w:t>[127] UC3M e-Archivo (2025). "A Review of Smart Grid Anomaly Detection Approaches." https://e-archivo.uc3m.es</w:t>
      </w:r>
      <w:r>
        <w:br/>
        <w:t>[128] EIT Health (2024-06-06). "The adoption of AI solutions in hospitals requires building trust." https://eithealth.eu</w:t>
      </w:r>
      <w:r>
        <w:br/>
        <w:t>[129] OECD (2024-09). "Regulatory approaches to artificial intelligence in finance." https://www.oecd.org</w:t>
      </w:r>
      <w:r>
        <w:br/>
        <w:t>[130] Nozomi Networks (2025). "Major Power Outage Hits Spain and Portugal." https://www.nozominetworks.com</w:t>
      </w:r>
      <w:r>
        <w:br/>
        <w:t>[133] CERRE (2025-12). "Cyber Resilience as a Pillar of European Energy Security." https://cerre.eu</w:t>
      </w:r>
      <w:r>
        <w:br/>
        <w:t>[135] Management Solutions (2024). "Regulation Outlook Report 4Q24." https://www.managementsolutions.com</w:t>
      </w:r>
      <w:r>
        <w:br/>
        <w:t>[136] LinkedIn (2024). "Spain Supervisory Control And Data Acquisition Systems Market." https://www.linkedin.com</w:t>
      </w:r>
      <w:r>
        <w:br/>
        <w:t>[137] SecurityBoulevard (2024-02). "Malicious Packages in npm, PyPI Highlight Supply Chain." https://securityboulevard.com</w:t>
      </w:r>
      <w:r>
        <w:br/>
        <w:t>[138] CSO Online (2025-02-06). "Attackers hide malicious code in Hugging Face AI model pickle files." https://www.csoonline.com</w:t>
      </w:r>
      <w:r>
        <w:br/>
        <w:t>[139] OWASP GenAI (2025-05-04). "LLM03:2025 Supply Chain." https://genai.owasp.org</w:t>
      </w:r>
      <w:r>
        <w:br/>
        <w:t>[141] Forbes (2024-10-22). "Hackers Have Uploaded Thousands Of Malicious Models To AI's Biggest Online Repository." https://www.forbes.com</w:t>
      </w:r>
      <w:r>
        <w:br/>
        <w:t xml:space="preserve">[142] SecurityBoulevard (2025-04). "Secure Your AI Supply Chain with the ML-BOM." </w:t>
      </w:r>
      <w:r>
        <w:lastRenderedPageBreak/>
        <w:t>https://securityboulevard.com</w:t>
      </w:r>
      <w:r>
        <w:br/>
        <w:t>[143] TheHackerNews (2025-06). "Malicious PyPI, npm, and Ruby Packages Exposed." https://thehackernews.com</w:t>
      </w:r>
      <w:r>
        <w:br/>
        <w:t>[144] ReversingLabs (2025-02-05). "Malicious ML models discovered on Hugging Face platform." https://www.reversinglabs.com</w:t>
      </w:r>
      <w:r>
        <w:br/>
        <w:t>[147] NSFocus (2024-03-04). "AI Supply Chain Security: Hugging Face Malicious ML Models." https://nsfocusglobal.com</w:t>
      </w:r>
      <w:r>
        <w:br/>
        <w:t>[149] Mend.io (2025-11-02). "Over 100 Malicious Pkgs Target Popular ML Pypi Libraries." https://www.mend.io</w:t>
      </w:r>
      <w:r>
        <w:br/>
        <w:t>[151] OpenSSF (2025-10-21). "Global Alignment on SBOM Standards: EU Cyber Resilience Act." https://openssf.org</w:t>
      </w:r>
      <w:r>
        <w:br/>
        <w:t>[152] ArXiv (2024-01-15). "Evolving AI Risk Management: A Maturity Model based on NIST AI RMF." https://arxiv.org/pdf</w:t>
      </w:r>
      <w:r>
        <w:br/>
        <w:t>[153] Samta.ai (2026-01-12). "Why AI Governance Matters More Than Accuracy." https://samta.ai/blogs</w:t>
      </w:r>
      <w:r>
        <w:br/>
        <w:t>[154] IEEE USA (2024-10-17). "A Flexible Maturity Model for AI Governance Based on NIST AI RMF." https://ieeeusa.org</w:t>
      </w:r>
      <w:r>
        <w:br/>
        <w:t>[155] CyberDynamo (2024-03). "NIST AI RMF Implementation Engagement." https://cyberdynamo.com</w:t>
      </w:r>
      <w:r>
        <w:br/>
        <w:t>[156] DIMES Society (2025-10-07). "Health AI Maturity Model." https://dimesociety.org</w:t>
      </w:r>
      <w:r>
        <w:br/>
        <w:t>[161] IS Partners (2025-01-29). "Core Functions: Govern, Map, Measure, Manage." https://www.ispartnersllc.com</w:t>
      </w:r>
      <w:r>
        <w:br/>
        <w:t>[162] AIGL Blog (2025-11-17). "NIST AI 100-1: Artificial Intelligence Risk Management Framework." https://www.aigl.blog</w:t>
      </w:r>
      <w:r>
        <w:br/>
        <w:t>[163] NIST (2025-02-05). "NIST AI RMF Playbook." https://www.nist.gov/itl/ai-risk-management-framework</w:t>
      </w:r>
      <w:r>
        <w:br/>
        <w:t>[164] Keyfactor (2026-01-08). "What the NIST Cyber AI Profile Draft Tells Us About the Future of AI and Cybersecurity." https://www.keyfactor.com</w:t>
      </w:r>
      <w:r>
        <w:br/>
        <w:t>[165] Vanta (2025-06-26). "An extensive guide to the NIST AI RMF." https://www.vanta.com</w:t>
      </w:r>
      <w:r>
        <w:br/>
        <w:t>[166] INCIBE (2025-03-19). "INCIBE presenta su balance de ciberseguridad 2024 con más de 97.000 incidentes." https://www.incibe.es</w:t>
      </w:r>
      <w:r>
        <w:br/>
        <w:t>[167] ProteccionData (2025-03-14). "Agencia Española de Supervisión de la Inteligencia Artificial (AESIA)." https://protecciondata.es</w:t>
      </w:r>
      <w:r>
        <w:br/>
        <w:t>[168] AESIA (2025-12-25). "la AESIA - Official Website." https://aesia.digital.gob.es</w:t>
      </w:r>
      <w:r>
        <w:br/>
        <w:t>[169] Spain Administration Electrónica (2024-08-31). "Spain's international ranking in Global Cybersecurity Index." https://administracionelectronica.gob.es</w:t>
      </w:r>
      <w:r>
        <w:br/>
        <w:t>[171] ProtectionReport (2025-02-05). "Implementación de la Agencia Española de Supervisión de la Inteligencia Artificial." https://www.protectionreport.com</w:t>
      </w:r>
      <w:r>
        <w:br/>
        <w:t>[173] MailCommsGroup (2025-04-28). "Phishing, a major cybersecurity challenge." https://mailcommsgroup.com</w:t>
      </w:r>
      <w:r>
        <w:br/>
        <w:t>[174] AESIA (2024-12-31). "Guías - AESIA." https://aesia.digital.gob.es/es/guias</w:t>
      </w:r>
      <w:r>
        <w:br/>
      </w:r>
      <w:r>
        <w:lastRenderedPageBreak/>
        <w:t>[176] BBVA (2025-09-14). "AI on both sides of cybersecurity: ally and threat in the digital world." https://www.bbva.com</w:t>
      </w:r>
      <w:r>
        <w:br/>
        <w:t>[177] AESIA (2025). "Guía introductoria al Reglamento de IA." https://aesia.digital.gob.es/storage/media</w:t>
      </w:r>
    </w:p>
    <w:p w14:paraId="0AC288A6" w14:textId="77777777" w:rsidR="008256E9" w:rsidRDefault="00000000">
      <w:r>
        <w:rPr>
          <w:b/>
        </w:rPr>
        <w:t>Informe Completo</w:t>
      </w:r>
      <w:r>
        <w:t>: Enero 2026</w:t>
      </w:r>
      <w:r>
        <w:br/>
      </w:r>
      <w:r>
        <w:rPr>
          <w:b/>
        </w:rPr>
        <w:t>Próxima Revisión</w:t>
      </w:r>
      <w:r>
        <w:t>: Octubre 2026 (post-AESIA audits + EU AI Act full operability)</w:t>
      </w:r>
    </w:p>
    <w:sectPr w:rsidR="008256E9" w:rsidSect="00034616">
      <w:head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8ED122" w14:textId="77777777" w:rsidR="000D2517" w:rsidRDefault="000D2517">
      <w:pPr>
        <w:spacing w:after="0" w:line="240" w:lineRule="auto"/>
      </w:pPr>
      <w:r>
        <w:separator/>
      </w:r>
    </w:p>
  </w:endnote>
  <w:endnote w:type="continuationSeparator" w:id="0">
    <w:p w14:paraId="619A8DF3" w14:textId="77777777" w:rsidR="000D2517" w:rsidRDefault="000D2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1A5082" w14:textId="77777777" w:rsidR="000D2517" w:rsidRDefault="000D2517">
      <w:pPr>
        <w:spacing w:after="0" w:line="240" w:lineRule="auto"/>
      </w:pPr>
      <w:r>
        <w:separator/>
      </w:r>
    </w:p>
  </w:footnote>
  <w:footnote w:type="continuationSeparator" w:id="0">
    <w:p w14:paraId="4AB82AC8" w14:textId="77777777" w:rsidR="000D2517" w:rsidRDefault="000D2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AD6AD" w14:textId="77777777" w:rsidR="008256E9" w:rsidRDefault="00000000">
    <w:pPr>
      <w:pStyle w:val="Encabezado"/>
      <w:jc w:val="center"/>
    </w:pPr>
    <w:r>
      <w:rPr>
        <w:noProof/>
      </w:rPr>
      <w:drawing>
        <wp:inline distT="0" distB="0" distL="0" distR="0" wp14:anchorId="3510A0D4" wp14:editId="59F6A77A">
          <wp:extent cx="5943600" cy="3105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FA89C9" w14:textId="77777777" w:rsidR="008256E9" w:rsidRDefault="008256E9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24738">
    <w:abstractNumId w:val="8"/>
  </w:num>
  <w:num w:numId="2" w16cid:durableId="138353294">
    <w:abstractNumId w:val="6"/>
  </w:num>
  <w:num w:numId="3" w16cid:durableId="458306874">
    <w:abstractNumId w:val="5"/>
  </w:num>
  <w:num w:numId="4" w16cid:durableId="1967200772">
    <w:abstractNumId w:val="4"/>
  </w:num>
  <w:num w:numId="5" w16cid:durableId="1569073880">
    <w:abstractNumId w:val="7"/>
  </w:num>
  <w:num w:numId="6" w16cid:durableId="1481461900">
    <w:abstractNumId w:val="3"/>
  </w:num>
  <w:num w:numId="7" w16cid:durableId="587277022">
    <w:abstractNumId w:val="2"/>
  </w:num>
  <w:num w:numId="8" w16cid:durableId="579484864">
    <w:abstractNumId w:val="1"/>
  </w:num>
  <w:num w:numId="9" w16cid:durableId="63375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517"/>
    <w:rsid w:val="0015074B"/>
    <w:rsid w:val="0029639D"/>
    <w:rsid w:val="00326F90"/>
    <w:rsid w:val="00337281"/>
    <w:rsid w:val="00635895"/>
    <w:rsid w:val="008256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C07EF"/>
  <w14:defaultImageDpi w14:val="300"/>
  <w15:docId w15:val="{D7D226FF-BD3C-0545-80EC-0583415B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4883</Words>
  <Characters>26859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López González</cp:lastModifiedBy>
  <cp:revision>2</cp:revision>
  <dcterms:created xsi:type="dcterms:W3CDTF">2013-12-23T23:15:00Z</dcterms:created>
  <dcterms:modified xsi:type="dcterms:W3CDTF">2026-04-11T10:02:00Z</dcterms:modified>
  <cp:category/>
</cp:coreProperties>
</file>