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DETALLADO: PREGUNTAS GQM → REQUISITOS NORMATIVOS</w:t>
      </w:r>
    </w:p>
    <w:p>
      <w:pPr>
        <w:pStyle w:val="Heading2"/>
        <w:keepNext/>
        <w:keepLines/>
      </w:pPr>
      <w:r>
        <w:rPr>
          <w:color w:val="0066CC"/>
        </w:rPr>
        <w:t>OWASP SAMM v2 + Regulación (NIS2, CRA, GDPR, ENS, DORA)</w:t>
      </w:r>
    </w:p>
    <w:p>
      <w:r>
        <w:rPr>
          <w:b/>
        </w:rPr>
        <w:t>Versión</w:t>
      </w:r>
      <w:r>
        <w:t xml:space="preserve">: 1.0 | </w:t>
      </w:r>
      <w:r>
        <w:rPr>
          <w:b/>
        </w:rPr>
        <w:t>Fecha</w:t>
      </w:r>
      <w:r>
        <w:t>: Enero 2026</w:t>
      </w:r>
      <w:r/>
      <w:r>
        <w:br/>
      </w:r>
      <w:r>
        <w:rPr>
          <w:b/>
        </w:rPr>
        <w:t>Ámbito</w:t>
      </w:r>
      <w:r>
        <w:t>: Operadores esenciales e importantes españoles bajo NIS2, CRA, GDPR, ENS, DORA</w:t>
      </w:r>
      <w:r/>
      <w:r>
        <w:br/>
      </w:r>
      <w:r>
        <w:rPr>
          <w:b/>
        </w:rPr>
        <w:t>Propósito</w:t>
      </w:r>
      <w:r>
        <w:t>: Trazabilidad explícita de cada pregunta de encuesta a artículos regulatorios</w:t>
      </w:r>
    </w:p>
    <w:p>
      <w:pPr>
        <w:pStyle w:val="Heading2"/>
        <w:keepNext/>
        <w:keepLines/>
      </w:pPr>
      <w:r>
        <w:rPr>
          <w:color w:val="0066CC"/>
        </w:rPr>
        <w:t>INTRODUCCIÓN</w:t>
      </w:r>
    </w:p>
    <w:p>
      <w:r>
        <w:t>Este documento mapea cada pregunta GQM (identificada como Q-DOMINIO-N) derivada del marco OWASP SAMM v2 directamente a:</w:t>
      </w:r>
    </w:p>
    <w:p>
      <w:pPr>
        <w:pStyle w:val="ListNumber"/>
        <w:keepLines w:val="1"/>
        <w:keepNext w:val="1"/>
        <w:widowControl w:val="1"/>
      </w:pPr>
      <w:r>
        <w:t>Artículos específicos de normativa (NIS2, CRA, GDPR, ENS, DORA)</w:t>
      </w:r>
    </w:p>
    <w:p>
      <w:pPr>
        <w:pStyle w:val="ListNumber"/>
        <w:keepLines w:val="1"/>
        <w:keepNext w:val="1"/>
        <w:widowControl w:val="1"/>
      </w:pPr>
      <w:r>
        <w:t>Cómo contribuye la pregunta a demostrar cumplimiento</w:t>
      </w:r>
    </w:p>
    <w:p>
      <w:pPr>
        <w:pStyle w:val="ListNumber"/>
        <w:keepLines w:val="1"/>
        <w:keepNext w:val="1"/>
        <w:widowControl w:val="1"/>
      </w:pPr>
      <w:r>
        <w:t>Métricas asociadas que la responden</w:t>
      </w:r>
    </w:p>
    <w:p>
      <w:pPr>
        <w:pStyle w:val="ListNumber"/>
        <w:keepLines w:val="1"/>
        <w:widowControl w:val="1"/>
      </w:pPr>
      <w:r>
        <w:t>Evidencias técnicas necesarias</w:t>
      </w:r>
    </w:p>
    <w:p>
      <w:pPr>
        <w:pStyle w:val="Heading2"/>
        <w:keepNext/>
        <w:keepLines/>
      </w:pPr>
      <w:r>
        <w:rPr>
          <w:color w:val="0066CC"/>
        </w:rPr>
        <w:t>TABLA 1: GOBERNANZA (GOV)</w:t>
      </w:r>
    </w:p>
    <w:p>
      <w:pPr>
        <w:pStyle w:val="Heading3"/>
        <w:keepNext/>
        <w:keepLines/>
      </w:pPr>
      <w:r>
        <w:t>Q-GOV-1: Estrategia AppSec formalizada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¿Existe documentada formalmente una estrategia plurianual de seguridad de software (AppSec) y está actualizada (&lt; 12 meses)?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asociada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M-GOV-01: Strategy Documentation Score (0-3)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NIS2 Art. 21.2(a): "políticas de análisis de riesgos y seguridad de sistemas de información"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Cómo contribuye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Demuestra que la organización tiene formalizada una política de seguridad de software integrada en su gestión de riesgos TIC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secundaria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CRA Annex I (diseño y desarrollo seguros); GDPR Art. 25 (privacy by design)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Evidencias técnicas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Documento de estrategia en repositorio corporativo (Wiki/SharePoint); fecha de última actualización; aprobación por comité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Periodicidad revisión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Anual o post-cambios regulatorios significativos</w:t>
            </w:r>
          </w:p>
        </w:tc>
      </w:tr>
    </w:tbl>
    <w:p/>
    <w:p>
      <w:pPr>
        <w:pStyle w:val="Heading3"/>
        <w:keepNext/>
        <w:keepLines/>
      </w:pPr>
      <w:r>
        <w:t>Q-GOV-2: Comunicación y revisión de estrategia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¿Con qué frecuencia se revisa, aprueba y comunica la estrategia de AppSec a stakeholders clave (gobernanza, desarrollo, operaciones)?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asociada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M-GOV-02: Strategy Review Frequency (# sesiones/año); M-GOV-03: Stakeholder Awareness (%)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NIS2 Art. 21.1 y 21.2: obligación de "medidas continuas y proporcionales"; Art. 20: gobernanza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Cómo contribuye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La revisión periódica evidencia que la organización mejora continuamente (criterio de proporcionalidad NIS2) y que existe alineación entre funciones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secundaria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ENS: revisión de marco organizativo; DORA: revisión de función de gestión de riesgos TIC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Evidencias técnicas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Calendario de reuniones; actas de revisión; lista de asistentes por rol; evidencia de comunicación (email, boletín, intranet)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Umbral cumplimiento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Mínimo 2-4 revisiones formales/año</w:t>
            </w:r>
          </w:p>
        </w:tc>
      </w:tr>
    </w:tbl>
    <w:p/>
    <w:p>
      <w:pPr>
        <w:pStyle w:val="Heading3"/>
        <w:keepNext/>
        <w:keepLines/>
      </w:pPr>
      <w:r>
        <w:t>Q-GOV-3: KPIs de seguridad de software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¿Existen KPIs (Key Performance Indicators) definidos para medir éxito de la estrategia de AppSec? ¿Se rastreen y reportan mensualmente?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asociada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M-GOV-04: KPI Completeness (# de KPIs definidos); M-GOV-05: KPI Tracking Rate (% reportados)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NIS2 Art. 21: medidas deben ser "evaluables" y "verificables"; implícito en concepto de governance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Cómo contribuye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La existencia de KPIs demuestra que se puede medir y evaluar la eficacia de las medidas de seguridad (requisito NIS2 implícito en Art. 20)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secundaria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CRA (art. 4): proveedores deben poder demostrar conformidad; DORA: gestión de riesgos debe ser medible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Evidencias técnicas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Dashboard o reporte mensual de KPIs (ej: % threat models documentados, MTTD, MTTR, etc.); propietario asignado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Umbral cumplimiento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Mínimo 5-7 KPIs; rastreados en &gt;80% de meses</w:t>
            </w:r>
          </w:p>
        </w:tc>
      </w:tr>
    </w:tbl>
    <w:p/>
    <w:p>
      <w:pPr>
        <w:pStyle w:val="Heading3"/>
        <w:keepNext/>
        <w:keepLines/>
      </w:pPr>
      <w:r>
        <w:t>Q-GOV-4: Roles y responsabilidades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¿Están claramente definidas y documentadas las responsabilidades de seguridad de software por rol (CISO, architects, developers, QA, ops)?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asociada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M-GOV-06: RACI Matrix Completeness; M-GOV-07: Role Clarity Score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NIS2 Art. 20: "medidas de gobernanza" incluyen asignación clara de responsabilidades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Cómo contribuye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Estructura organizativa clara es requisito fundamental de gobernanza; facilita auditoría y accountability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secundaria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ENS (organización); GDPR Art. 32 (roles de DPO, security leads)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Evidencias técnicas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Matriz RACI documentada; organigrama con funciones de seguridad; job descriptions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Umbral cumplimiento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RACI completado; todos los roles clave identificados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2: DISEÑO (DES)</w:t>
      </w:r>
    </w:p>
    <w:p>
      <w:pPr>
        <w:pStyle w:val="Heading3"/>
        <w:keepNext/>
        <w:keepLines/>
      </w:pPr>
      <w:r>
        <w:t>Q-DES-1: Cobertura de threat modeling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¿Qué porcentaje de aplicaciones críticas dispone de threat model documentado y actualizado (&lt; 6 meses)?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asociada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M-DES-01: Threat Model Coverage (%)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CRA Annex I, Clause 2.2: "identificación de amenazas y evaluación de riesgos" durante diseño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Cómo contribuye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Threat modeling sistemático es evidencia directa de cumplimiento CRA "Secure by Design" (Art. 10)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secundaria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NIS2 Art. 21.2(a): "análisis de riesgos" a nivel de aplicación; GDPR Art. 25 (privacy threats)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Evidencias técnicas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Threat model documents en repositorio (STRIDE, PASTA, etc.); fecha de creación/actualización; enlace a vulnerabilidades encontradas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Umbral cumplimiento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Mínimo 90% de apps críticas con threat model activo</w:t>
            </w:r>
          </w:p>
        </w:tc>
      </w:tr>
    </w:tbl>
    <w:p/>
    <w:p>
      <w:pPr>
        <w:pStyle w:val="Heading3"/>
        <w:keepNext/>
        <w:keepLines/>
      </w:pPr>
      <w:r>
        <w:t>Q-DES-2: Profundidad de threat modeling (STRIDE)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¿Qué % de threat models cubre explícitamente todas las 6 categorías STRIDE (Spoofing, Tampering, Repudiation, Information Disclosure, DoS, Elevation)?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asociada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M-DES-02: STRIDE Coverage per Model (%)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CRA: "All relevant threats" deben ser considerados (implícito en Secure by Design)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Cómo contribuye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Demuestra rigor metodológico y cobertura sistemática de amenazas; auditor puede verificar que no hay "gaps" obvios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secundaria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NIS2: rigor en análisis de riesgos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Evidencias técnicas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Documento de threat model con sección explícita por cada categoría STRIDE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Umbral cumplimiento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Mínimo 80% de modelos con todas 6 categorías analizadas</w:t>
            </w:r>
          </w:p>
        </w:tc>
      </w:tr>
    </w:tbl>
    <w:p/>
    <w:p>
      <w:pPr>
        <w:pStyle w:val="Heading3"/>
        <w:keepNext/>
        <w:keepLines/>
      </w:pPr>
      <w:r>
        <w:t>Q-DES-3: Vulnerabilidades de diseño pre-producción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¿Cuántas vulnerabilidades de arquitectura/diseño se detectan y corrigen antes de pasar a producción (# absoluto y % de cierre pre-prod)?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asociada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M-DES-03: Arch Finding Resolution Time (días); M-DES-04: Pre-Prod Arch Closure Rate (%)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CRA Art. 10: "productos sin vulnerabilidades explotables conocidas"; implicación: deben eliminarse en fase de diseño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Cómo contribuye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Muestra que la org encuentra y cierra fallos de diseño antes de exponerse a producción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secundaria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NIS2 Art. 21.2(a)(d): reducción de riesgos sistémicos; ENS: medidas de protección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Evidencias técnicas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Logs de hallazgos de revisión arquitectónica; cierre de tickets antes de release a prod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Umbral cumplimiento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Mínimo 95% de hallazgos críticos cerrados pre-prod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3: IMPLEMENTACIÓN (IMP)</w:t>
      </w:r>
    </w:p>
    <w:p>
      <w:pPr>
        <w:pStyle w:val="Heading3"/>
        <w:keepNext/>
        <w:keepLines/>
      </w:pPr>
      <w:r>
        <w:t>Q-IMP-1: SAST en CI/CD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¿Qué % de aplicaciones tiene SAST (Static Application Security Testing) integrado en la cadena de CI/CD con política de bloqueo automático ("gates") para vulnerabilidades críticas?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asociada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M-IMP-01: SAST Integration Coverage (%); M-IMP-02: Build Gate Block Rate (%)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CRA Annex I: "análisis de seguridad automático" del código; NIS2 Art. 21.2(a)(g): "ciberhigiene básica"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Cómo contribuye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SAST en CI/CD es control automático que detecta vulnerabilidades comunes antes de que lleguen a producción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secundaria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DORA: gestión de riesgos en ciclo de vida de software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Evidencias técnicas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Configuración de CI/CD (Jenkins/GitLab/GitHub Actions) mostrando SAST activado; logs de ejecución; umbral de bloqueo definido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Umbral cumplimiento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Mínimo 95% apps críticas con SAST en CI/CD; gate configurado</w:t>
            </w:r>
          </w:p>
        </w:tc>
      </w:tr>
    </w:tbl>
    <w:p/>
    <w:p>
      <w:pPr>
        <w:pStyle w:val="Heading3"/>
        <w:keepNext/>
        <w:keepLines/>
      </w:pPr>
      <w:r>
        <w:t>Q-IMP-2: Componentes de terceros (SCA)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¿Qué % de builds ejecuta análisis de composición (SCA) para detectar vulnerabilidades en librerías de terceros?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asociada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M-IMP-03: SCA Integration Coverage (%); M-IMP-04: Vulnerable Component Detection Rate (%)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CRA Annex I, Clause 2.2(iv): gestión de riesgos en componentes de terceros; NIS2 Art. 21: supply chain security (implícito)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Cómo contribuye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 de control de la cadena de suministro software; muestra awareness de vulnerabilidades transitivas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secundaria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NIST CSF (SC-4), ISO 27001 (A.14.2.5)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Evidencias técnicas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SCA tool configurado (OWASP Dependency-Check, Snyk, etc.); reportes de vulns detectadas; política de actualización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Umbral cumplimiento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Mínimo 90% builds con SCA; vulns críticas bloqueadas</w:t>
            </w:r>
          </w:p>
        </w:tc>
      </w:tr>
    </w:tbl>
    <w:p/>
    <w:p>
      <w:pPr>
        <w:pStyle w:val="Heading3"/>
        <w:keepNext/>
        <w:keepLines/>
      </w:pPr>
      <w:r>
        <w:t>Q-IMP-3: Cierre pre-producción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¿Qué % de vulnerabilidades identificadas por SAST/SCA se corrige antes del despliegue a producción?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asociada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M-IMP-05: Pre-Prod Vulnerability Closure Rate (%)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CRA Art. 10 (producto sin vulns explotables); NIS2 Art. 21.2(a)(d): gestión de vulnerabilidades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Cómo contribuye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clave de conformidad CRA: demuestra que la org no despliega vulnerabilidades conocidas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secundaria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GDPR Art. 32 (medidas técnicas adecuadas)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Evidencias técnicas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Correlación entre hallazgos de SAST/SCA y cierre de tickets en DEF tracker antes de release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Umbral cumplimiento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Mínimo 98% de críticas; 95% de altas cerradas pre-prod</w:t>
            </w:r>
          </w:p>
        </w:tc>
      </w:tr>
    </w:tbl>
    <w:p/>
    <w:p>
      <w:pPr>
        <w:pStyle w:val="Heading3"/>
        <w:keepNext/>
        <w:keepLines/>
      </w:pPr>
      <w:r>
        <w:t>Q-IMP-4: Secrets management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¿Dispone la organización de un sistema de gestión de secretos (API keys, DB passwords, certs) que previene su hardcoding en código?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asociada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M-IMP-06: Secrets Management Coverage (%); M-IMP-07: Secret Detection Rate (detecciones de scanner)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NIS2 Art. 21.2(a)(g): ciberhigiene (gestión de credenciales); GDPR Art. 32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Cómo contribuye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Control operacional que reduce exposición de credenciales en repositorios públicos/privados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secundaria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CRA: best practices de desarrollo seguro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Evidencias técnicas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Vault / Azure KeyVault / AWS Secrets Manager / similar configurado; políticas de CI/CD que bloquean secrets en código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Umbral cumplimiento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Mínimo 100% de apps usando secrets manager; 0 secrets detectadas en repos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4: VERIFICACIÓN (VER)</w:t>
      </w:r>
    </w:p>
    <w:p>
      <w:pPr>
        <w:pStyle w:val="Heading3"/>
        <w:keepNext/>
        <w:keepLines/>
      </w:pPr>
      <w:r>
        <w:t>Q-VER-1: Cobertura de pruebas de seguridad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¿Qué % de requisitos de seguridad cuentan con casos de prueba (test cases) documentados y ejecutados regularmente?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asociada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M-VER-01: Security Test Coverage (%); M-VER-02: Test Execution Rate (%)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CRA Annex I: "pruebas de conformidad"; NIS2 Art. 21: "pruebas" de eficacia de medidas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Cómo contribuye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Demuestra que se verifica sistemáticamente que los requisitos de seguridad se cumplen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secundaria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ISO 27001 A.14.2.8 (testing)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Evidencias técnicas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Test repository (Jira, TestRail, etc.) con mapeo de test case a requisito de seguridad; resultados de ejecución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Umbral cumplimiento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Mínimo 85% cobertura; &gt;95% de tests ejecutados por release</w:t>
            </w:r>
          </w:p>
        </w:tc>
      </w:tr>
    </w:tbl>
    <w:p/>
    <w:p>
      <w:pPr>
        <w:pStyle w:val="Heading3"/>
        <w:keepNext/>
        <w:keepLines/>
      </w:pPr>
      <w:r>
        <w:t>Q-VER-2: DAST (Dynamic Testing)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¿Se ejecutan pruebas dinámicas (DAST) contra aplicaciones web/móviles en ambiente de staging antes de producción? ¿Con qué frecuencia?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asociada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M-VER-03: DAST Execution Frequency (# al año); M-VER-04: DAST Finding Closure (%)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CRA: "evaluación de seguridad" antes de release; NIS2: pruebas de resiliencia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Cómo contribuye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DAST captura vulnerabilidades runtime (inyecciones, lógica, autenticación) que SAST no detecta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secundaria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OWASP Top 10; ISO 27001 A.14.2.8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Evidencias técnicas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DAST tool ejecutado (Burp, OWASP ZAP, etc.); reportes de vuln por release; SLA de cierre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Umbral cumplimiento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Mínimo 1 DAST pre-release por app crítica; &gt;90% hallazgos cerrados</w:t>
            </w:r>
          </w:p>
        </w:tc>
      </w:tr>
    </w:tbl>
    <w:p/>
    <w:p>
      <w:pPr>
        <w:pStyle w:val="Heading3"/>
        <w:keepNext/>
        <w:keepLines/>
      </w:pPr>
      <w:r>
        <w:t>Q-VER-3: Penetration Testing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¿Cuántos pentests (pruebas de penetración) se realizan anualmente a sistemas/apps críticos? ¿Qué % de hallazgos críticos se cierra?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asociada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M-VER-05: Pentest Frequency (# al año); M-VER-06: Pentest Finding Closure (%)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NIS2 Art. 21: "ejercicios" de evaluación de ciberseguridad; CRA: evaluación integral de seguridad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Cómo contribuye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Pentest es validación "holística" de seguridad (combina técnica + negocio + procesos); auditor lo valora como "gold standard"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secundaria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DORA: pruebas avanzadas de resiliencia; NIST CSF (RS.IM-2)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Evidencias técnicas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Reportes de pentest; contrato con proveedor; plan de cierre de hallazgos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Umbral cumplimiento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Mínimo 1-2 pentests/año para apps críticas; 100% hallazgos críticos cerrados</w:t>
            </w:r>
          </w:p>
        </w:tc>
      </w:tr>
    </w:tbl>
    <w:p/>
    <w:p>
      <w:pPr>
        <w:pStyle w:val="Heading3"/>
        <w:keepNext/>
        <w:keepLines/>
      </w:pPr>
      <w:r>
        <w:t>Q-VER-4: Red teaming o ejercicios simulados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¿Realiza la organización ejercicios de simulación (red team, tabletop) para evaluar respuesta ante incidentes?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asociada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M-VER-07: Red Team Exercise Frequency (# al año); M-VER-08: Exercise Effectiveness Score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NIS2 Art. 21: "ejercicios de gestión de incidentes"; DORA: pruebas de resiliencia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Cómo contribuye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Demuestra que la organización entrena reacción ante incidentes (no solo prevención); importante para DORA y resiliencia operacional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secundaria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NIST CSF (RS.CO-3)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Evidencias técnicas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Plan anual de ejercicios; reportes post-ejercicio; acciones correctivas identificadas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Umbral cumplimiento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Mínimo 1-2 ejercicios/año; &gt;60% participación de SOC/ops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5: OPERACIONES (OPS)</w:t>
      </w:r>
    </w:p>
    <w:p>
      <w:pPr>
        <w:pStyle w:val="Heading3"/>
        <w:keepNext/>
        <w:keepLines/>
      </w:pPr>
      <w:r>
        <w:t>Q-OPS-1: MTTD (Mean Time To Detect)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¿Cuál es el MTTD promedio (horas) desde que ocurre un incidente hasta que se detecta? ¿Cuál es la mediana y percentil 95?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asociada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M-OPS-01: MTTD Mean; M-OPS-02: MTTD Median; M-OPS-03: MTTD P95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NIS2 Art. 21.2(b)(c): obligación de detectar y responder a incidentes; Art. 23: notificar dentro de 72h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Cómo contribuye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MTTD es métrica operacional clave: cuanto menor, menor exposición. Es precursor del MTTR y de la severidad final del incidente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secundaria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DORA: resiliencia operacional; CRA (implícito en gestión de incidentes)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Evidencias técnicas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Logs de SIEM/SOC con timestamps de occurrence y detection; análisis de correlación de eventos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Umbral cumplimiento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MTTD &lt; 4h para críticos; &lt; 24h para altos (goal NIS2 implícito)</w:t>
            </w:r>
          </w:p>
        </w:tc>
      </w:tr>
    </w:tbl>
    <w:p/>
    <w:p>
      <w:pPr>
        <w:pStyle w:val="Heading3"/>
        <w:keepNext/>
        <w:keepLines/>
      </w:pPr>
      <w:r>
        <w:t>Q-OPS-2: MTTR (Mean Time To Remediate)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¿Cuál es el MTTR promedio (horas) desde detección hasta cierre de vulnerabilidad/incidente? Desglosado por severidad (crítica, alta, media)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asociada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M-OPS-04: MTTR Critical; M-OPS-05: MTTR High; M-OPS-06: MTTR Compliance (% dentro SLA)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NIS2 Art. 21.2(a)(d): gestión de vulnerabilidades; CRA Art. 10: remediación "sin demora"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Cómo contribuye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MTTR demuestra velocidad de respuesta operativa; es indicador directo de eficacia en reducir exposición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secundaria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DORA: capacidad de recuperación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Evidencias técnicas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Incident tracking system con SLAs definidos; cierre de tickets; logs de remediación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Umbral cumplimiento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MTTR Critical &lt; 24h; High &lt; 7 días; Compliance &gt; 95%</w:t>
            </w:r>
          </w:p>
        </w:tc>
      </w:tr>
    </w:tbl>
    <w:p/>
    <w:p>
      <w:pPr>
        <w:pStyle w:val="Heading3"/>
        <w:keepNext/>
        <w:keepLines/>
      </w:pPr>
      <w:r>
        <w:t>Q-OPS-3: Patch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¿Qué % de sistemas críticos se parchean dentro del SLA definido (ej: 24h para crítica, 7 días para alta)?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asociada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M-OPS-07: Patch Compliance Critical (%); M-OPS-08: Patch Compliance High (%); M-OPS-09: Patch Lag Days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NIS2 Art. 21.2(a)(g): ciberhigiene básica (patching); CRA: remediación de vulnerabilidades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Cómo contribuye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Patch compliance es medida preventiva de exposición; demuestra diligencia operacional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secundaria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ENS: medidas de protección; ISO 27001 A.12.6.1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Evidencias técnicas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Patch management tool (WSUS, Jamf, etc.); reportes de cumplimiento; análisis de gaps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Umbral cumplimiento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Mínimo 95% críticos en 24h; 90% altos en 7 días</w:t>
            </w:r>
          </w:p>
        </w:tc>
      </w:tr>
    </w:tbl>
    <w:p/>
    <w:p>
      <w:pPr>
        <w:pStyle w:val="Heading3"/>
        <w:keepNext/>
        <w:keepLines/>
      </w:pPr>
      <w:r>
        <w:t>Q-OPS-4: Incident Handling Capability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¿Existe un plan de incident response documentado? ¿Se ejecuta regularmente? ¿Hay análisis post-incidente?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asociada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M-OPS-10: IR Plan Completeness; M-OPS-11: IR Exercise Frequency; M-OPS-12: Post-Incident Review Rate (%)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NIS2 Art. 21.2(b)(c): procedimientos de gestión de incidentes; Art. 23: notificación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Cómo contribuye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Demuestra que la organización tiene procesos documentados y probados para responder a incidentes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secundaria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GDPR Art. 33; DORA Art. 17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Evidencias técnicas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Documento de IR plan; evidencia de ejercicios; registros de post-mortems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Umbral cumplimiento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Plan documentado; ≥1 ejercicio/año; post-mortems en &gt;90% de incidentes críticos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6: GESTIÓN DE VULNERABILIDADES (VULN)</w:t>
      </w:r>
    </w:p>
    <w:p>
      <w:pPr>
        <w:pStyle w:val="Heading3"/>
        <w:keepNext/>
        <w:keepLines/>
      </w:pPr>
      <w:r>
        <w:t>Q-VULN-1: Cobertura de escaneo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¿Qué % de sistemas/aplicaciones se escanean en busca de vulnerabilidades cada mes? ¿Con qué frecuencia?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asociada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M-VULN-01: Scan Coverage (%); M-VULN-02: Scan Frequency (escaneos/año)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NIS2 Art. 21.2(a)(d): identificación y gestión de vulnerabilidades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Cómo contribuye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Cobertura de escaneo es línea base de visibilidad de vulnerabilidades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secundaria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CRA (implicit); ENS: evaluación de vulnerabilidades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Evidencias técnicas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Logs de scanner (Nessus, Qualys, etc.); inventario de activos escaneados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Umbral cumplimiento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Mínimo 90% cobertura; semanal o superior para críticos</w:t>
            </w:r>
          </w:p>
        </w:tc>
      </w:tr>
    </w:tbl>
    <w:p/>
    <w:p>
      <w:pPr>
        <w:pStyle w:val="Heading3"/>
        <w:keepNext/>
        <w:keepLines/>
      </w:pPr>
      <w:r>
        <w:t>Q-VULN-2: Priorización de vulnerabilidades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¿Cómo se priorizan las vulnerabilidades? ¿Se usa CVSS, EPSS, contexto de negocio, o solo CVSS?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asociada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M-VULN-03: Prioritization Sophistication (1-5); M-VULN-04: EPSS Coverage (%)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NIS2 Art. 21: medidas deben ser "proporcionales" al riesgo; implica priorización racional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Cómo contribuye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Priorización sofisticada evita perder recursos en falsos positivos y enfoca en vulns explotables reales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secundaria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CRA: "known exploitable"; NIST CSF (risk-based)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Evidencias técnicas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Política de priorización documentada; uso de herramientas EPSS (FIRST.org); lista de priorización con contexto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Umbral cumplimiento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Mínimo nivel 3 (CVSS + contexto); idealmente nivel 4 (EPSS)</w:t>
            </w:r>
          </w:p>
        </w:tc>
      </w:tr>
    </w:tbl>
    <w:p/>
    <w:p>
      <w:pPr>
        <w:pStyle w:val="Heading3"/>
        <w:keepNext/>
        <w:keepLines/>
      </w:pPr>
      <w:r>
        <w:t>Q-VULN-3: Cierre de vulnerabilidades críticas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¿Qué % de vulnerabilidades críticas/CVSS &gt; 8.0 se cierra dentro del SLA (ej: 30 días)?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asociada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M-VULN-05: Critical Vuln Closure Rate (%); M-VULN-06: Critical Vuln Closure Time (días)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NIS2 Art. 21.2(a)(d): "gestión de vulnerabilidades"; CRA Art. 10: sin vulns explotables conocidas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Cómo contribuye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Demuestra que la organización efectivamente cierra vulnerabilidades críticas, reduciendo exposición material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secundaria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ISO 27001 A.12.6.1; DORA: resiliencia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Evidencias técnicas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Correlation entre reportes de scan y cierre de tickets; SLA definido y monitorizado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Umbral cumplimiento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Mínimo 95% cerradas dentro de 30 días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7: SIEM Y MONITOREO (SIEM)</w:t>
      </w:r>
    </w:p>
    <w:p>
      <w:pPr>
        <w:pStyle w:val="Heading3"/>
        <w:keepNext/>
        <w:keepLines/>
      </w:pPr>
      <w:r>
        <w:t>Q-SIEM-1: Cobertura de fuentes de datos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¿Qué % de tipos de fuentes de datos definidas en la arquitectura SIEM están activamente enviando logs?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asociada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M-SIEM-01: Data Source Coverage (%); M-SIEM-02: Log Volume Daily (GB); M-SIEM-03: Data Availability Uptime (%)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NIS2 Art. 21.2(b): logging y monitorización; Art. 23: incident notification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Cómo contribuye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Cobertura de fuentes SIEM es prerequisito para detección efectiva (no puedes detectar lo que no ves)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secundaria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ENS: registro de eventos; DORA: monitorización continua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Evidencias técnicas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SIEM inventory; estado de colectores; test de datos por fuente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Umbral cumplimiento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Mínimo 95% fuentes en línea; &gt;99% uptime SIEM</w:t>
            </w:r>
          </w:p>
        </w:tc>
      </w:tr>
    </w:tbl>
    <w:p/>
    <w:p>
      <w:pPr>
        <w:pStyle w:val="Heading3"/>
        <w:keepNext/>
        <w:keepLines/>
      </w:pPr>
      <w:r>
        <w:t>Q-SIEM-2: Calidad de alertas (False Positive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¿Cuál es la tasa de falsos positivos (% de alertas que no son verdaderos incidentes) en el SIEM?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asociada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M-SIEM-04: False Positive Rate (%); M-SIEM-05: Alert to Incident Conversion (%)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NIS2 Art. 21: medidas deben ser "eficaces"; FP rate alto significa ineficacia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Cómo contribuye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FP rate bajo indica reglas de detección bien ajustadas y SOC efectivo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secundaria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DORA: capacidad de detección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Evidencias técnicas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Análisis de alertas del último mes; clasificación FP vs TP; trending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Umbral cumplimiento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Máximo 40-50% FP (benchmark global); objetivo &lt; 30%</w:t>
            </w:r>
          </w:p>
        </w:tc>
      </w:tr>
    </w:tbl>
    <w:p/>
    <w:p>
      <w:pPr>
        <w:pStyle w:val="Heading3"/>
        <w:keepNext/>
        <w:keepLines/>
      </w:pPr>
      <w:r>
        <w:t>Q-SIEM-3: Timeliness de detección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¿Cuál es el tiempo promedio (segundos/minutos) entre que ocurre un evento y se genera una alerta en SIEM?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asociada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M-SIEM-06: Alert Generation Latency (segundos); M-SIEM-07: Alert Delivery SLA Compliance (%)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NIS2 Art. 21: detección rápida es implícito en "incident response"; Art. 23: 72h para notificación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Cómo contribuye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Latencia baja en alertas es crítica para MTTD; cada segundo cuenta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secundaria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DORA: capacidad de respuesta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Evidencias técnicas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SIEM performance metrics; test de eventos artificiales; análisis de lag en correlación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Umbral cumplimiento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Máximo 5 minutos para correlación; &lt; 1 segundo para alertas simples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8: CAPACITACIÓN Y CONCIENCIA (TRAIN)</w:t>
      </w:r>
    </w:p>
    <w:p>
      <w:pPr>
        <w:pStyle w:val="Heading3"/>
        <w:keepNext/>
        <w:keepLines/>
      </w:pPr>
      <w:r>
        <w:t>Q-TRAIN-1: Cobertura de formación anual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¿Qué % de empleados completó formación de ciberseguridad obligatoria en el último año?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asociada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M-TRAIN-01: Training Completion Rate (%); M-TRAIN-02: Training Hours per Capita (horas/empleado)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NIS2 Art. 21.2(g): "sensibilización y formación en ciberseguridad"; GDPR Art. 32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Cómo contribuye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de cumplimiento formal de obligación regulatoria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secundaria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ENS: formación en seguridad; ISO 27001 A.7.3.1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Evidencias técnicas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LMS (Learning Management System) con registro de completados; certificados de curso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Umbral cumplimiento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Mínimo 90-95% completados; idealmente 100%; mínimo 4-8 horas/año</w:t>
            </w:r>
          </w:p>
        </w:tc>
      </w:tr>
    </w:tbl>
    <w:p/>
    <w:p>
      <w:pPr>
        <w:pStyle w:val="Heading3"/>
        <w:keepNext/>
        <w:keepLines/>
      </w:pPr>
      <w:r>
        <w:t>Q-TRAIN-2: Comportamiento ante phishing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¿Cuál es la tasa de clic en simulaciones de phishing (% de empleados que clickean en correos de prueba)?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asociada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M-TRAIN-03: Phishing Click Rate (%); M-TRAIN-04: Report Rate (%); M-TRAIN-05: Time to Report (minutos)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NIS2 Art. 21.2(g): formación efectiva (no solo asistencia); GDPR Art. 32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Cómo contribuye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Mide eficacia real de formación en cambio de comportamiento (no solo cumplimiento formal)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secundaria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Prevención de ataques de ingeniería social; DORA: reducción de riesgo humano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Evidencias técnicas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Plataforma de simulación phishing (Gophish, Knowbe4, etc.); reportes mensuales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Umbral cumplimiento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&lt; 5% click rate (goal); &gt; 60% report rate; &lt; 10 min promedio reporte</w:t>
            </w:r>
          </w:p>
        </w:tc>
      </w:tr>
    </w:tbl>
    <w:p/>
    <w:p>
      <w:pPr>
        <w:pStyle w:val="Heading3"/>
        <w:keepNext/>
        <w:keepLines/>
      </w:pPr>
      <w:r>
        <w:t>Q-TRAIN-3: Segmentación de formación por 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¿Existe formación diferenciada por rol (developers, testers, ops, ejecutivos, usuarios generales)?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asociada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M-TRAIN-06: Role-based Training Coverage (%); M-TRAIN-07: Role-specific Content Quality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NIS2 Art. 21.2(g): formación "apropiada" (implica segmentación); GDPR Art. 32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Cómo contribuye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Formación diferenciada es más eficaz; demuestra rigor pedagógico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secundaria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ISO 27001 A.7.3.2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Evidencias técnicas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Curriculum diferenciado en LMS; contenido específico por rol; métricas de aprendizaje por grupo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Umbral cumplimiento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Mínimo 3-4 vías: básica, desarrolladores, operaciones, ejecutivos</w:t>
            </w:r>
          </w:p>
        </w:tc>
      </w:tr>
    </w:tbl>
    <w:p/>
    <w:p>
      <w:pPr>
        <w:pStyle w:val="Heading3"/>
        <w:keepNext/>
        <w:keepLines/>
      </w:pPr>
      <w:r>
        <w:t>Q-TRAIN-4: Entrenamientos post-incidente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Cuando ocurre un incidente (ej: éxito de phishing, malware), ¿se realiza formación correctiva a empleados afectados?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 asociada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M-TRAIN-08: Post-Incident Training Rate (%); M-TRAIN-09: Effectiveness (% reduction in future incidents)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NIS2 Art. 21.2(g): formación continua y mejora; GDPR Art. 32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Cómo contribuye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Demuestra ciclo de mejora continua y aprovechamiento de incidentes como oportunidad de aprendizaje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secundaria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ISO 27001 (Annex A.7.3)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Evidencias técnicas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Plan de capacitación post-incidente; evidencia de ejecución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Umbral cumplimiento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Mínimo 80% de afectados reciben formación; idealmente dentro de 7 días post-incidente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TABLA 9: RESUMEN DE MAPEO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 Preguntas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Artículos NIS2 Clave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Artículos CRA Clave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Normativa Secundaria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GOV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20, 21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Annex I (gov)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ENS, DORA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DES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21.2(a)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Annex I (design), Art. 10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GDPR Art. 25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IMP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21.2(a)(g)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Annex I (dev)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27001, DORA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VER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21, 23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Annex I (testing)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 Controls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OPS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21.2(b)(c), 23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10 (remediation)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DORA, ISO 27001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VULN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21.2(a)(d)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10, Annex 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21.2(b), 23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Annex I (monitoring)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ENS, DORA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TRAIN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21.2(g)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Annex I (training)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GDPR Art. 32, ISO 27001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29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Art. 20, 21, 23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Art. 4, 10, Annex I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GDPR, ENS, DORA, NIST, ISO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CÓMO USAR ESTE DOCUMENTO</w:t>
      </w:r>
    </w:p>
    <w:p>
      <w:pPr>
        <w:pStyle w:val="ListNumber"/>
        <w:keepLines w:val="1"/>
        <w:keepNext w:val="1"/>
        <w:widowControl w:val="1"/>
      </w:pPr>
      <w:r>
        <w:t>Al diseñar encuesta: Cada pregunta Q-DOMINIO-N puede ser desglosada en ítems específicos de cuestionario, manteniendo referencia al Q-ID.</w:t>
      </w:r>
    </w:p>
    <w:p>
      <w:pPr>
        <w:pStyle w:val="ListNumber"/>
        <w:keepLines w:val="1"/>
        <w:keepNext w:val="1"/>
        <w:widowControl w:val="1"/>
      </w:pPr>
      <w:r>
        <w:t>Al analizar: Agrupar respuestas por pregunta → calcular métrica → enlazar a artículos normativos.</w:t>
      </w:r>
    </w:p>
    <w:p>
      <w:pPr>
        <w:pStyle w:val="ListNumber"/>
        <w:keepLines w:val="1"/>
        <w:keepNext w:val="1"/>
        <w:widowControl w:val="1"/>
      </w:pPr>
      <w:r>
        <w:t>Al reportar:</w:t>
      </w:r>
    </w:p>
    <w:p>
      <w:pPr>
        <w:pStyle w:val="ListNumber"/>
        <w:keepLines w:val="1"/>
        <w:keepNext w:val="1"/>
        <w:widowControl w:val="1"/>
      </w:pPr>
      <w:r>
        <w:t>"Pregunta Q-OPS-1 (MTTD) responde a NIS2 Art. 21.2(b)(c) y DORA Art. 16"</w:t>
      </w:r>
    </w:p>
    <w:p>
      <w:pPr>
        <w:pStyle w:val="ListNumber"/>
        <w:keepLines w:val="1"/>
        <w:keepNext w:val="1"/>
        <w:widowControl w:val="1"/>
      </w:pPr>
      <w:r>
        <w:t>Resultado: MTTD promedio = 12h (Incumplimiento del objetivo &lt;4h)</w:t>
      </w:r>
    </w:p>
    <w:p>
      <w:pPr>
        <w:pStyle w:val="ListNumber"/>
        <w:keepLines w:val="1"/>
        <w:keepNext w:val="1"/>
        <w:widowControl w:val="1"/>
      </w:pPr>
      <w:r>
        <w:t>Acciones: Invertir en SIEM, mejorar detección</w:t>
      </w:r>
    </w:p>
    <w:p>
      <w:pPr>
        <w:pStyle w:val="ListNumber"/>
        <w:keepLines w:val="1"/>
        <w:widowControl w:val="1"/>
      </w:pPr>
      <w:r>
        <w:t>Al auditar: Auditor puede verificar pregunta por pregunta que cada área cumpla los artículos normativos.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