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</w:t>
      </w:r>
    </w:p>
    <w:p>
      <w:pPr>
        <w:pStyle w:val="Heading2"/>
        <w:keepNext/>
        <w:keepLines/>
      </w:pPr>
      <w:r>
        <w:rPr>
          <w:color w:val="0066CC"/>
        </w:rPr>
        <w:t>Programa de Indicadores GQM+PRAGMATIC para OWASP SAMM</w:t>
      </w:r>
    </w:p>
    <w:p>
      <w:r>
        <w:rPr>
          <w:b/>
        </w:rPr>
        <w:t>Versión</w:t>
      </w:r>
      <w:r>
        <w:t xml:space="preserve">: 1.0 | </w:t>
      </w:r>
      <w:r>
        <w:rPr>
          <w:b/>
        </w:rPr>
        <w:t>Fecha</w:t>
      </w:r>
      <w:r>
        <w:t>: Enero 2026</w:t>
      </w:r>
      <w:r/>
      <w:r>
        <w:br/>
      </w:r>
      <w:r>
        <w:rPr>
          <w:b/>
        </w:rPr>
        <w:t>Formato</w:t>
      </w:r>
      <w:r>
        <w:t>: Guía de estructura PowerPoint para Comité de Dirección y Board</w:t>
      </w:r>
      <w:r/>
      <w:r>
        <w:br/>
      </w:r>
      <w:r>
        <w:rPr>
          <w:b/>
        </w:rPr>
        <w:t>Duración recomendada</w:t>
      </w:r>
      <w:r>
        <w:t>: 30-45 minutos de presentación + Q&amp;A</w:t>
      </w:r>
    </w:p>
    <w:p>
      <w:pPr>
        <w:pStyle w:val="Heading2"/>
        <w:keepNext/>
        <w:keepLines/>
      </w:pPr>
      <w:r>
        <w:rPr>
          <w:color w:val="0066CC"/>
        </w:rPr>
        <w:t>ESTRUCTURA DEL DECK POWERPOINT (14 Diapositivas)</w:t>
      </w:r>
    </w:p>
    <w:p>
      <w:pPr>
        <w:pStyle w:val="Heading2"/>
        <w:keepNext/>
        <w:keepLines/>
      </w:pPr>
      <w:r>
        <w:rPr>
          <w:color w:val="0066CC"/>
        </w:rPr>
        <w:t>SLIDE 1 — PORTADA</w:t>
      </w:r>
    </w:p>
    <w:p>
      <w:pPr>
        <w:pStyle w:val="Heading3"/>
        <w:keepNext/>
        <w:keepLines/>
      </w:pPr>
      <w:r>
        <w:t>Contenido visual</w:t>
      </w:r>
    </w:p>
    <w:p>
      <w:r>
        <w:rPr>
          <w:b/>
        </w:rPr>
        <w:t>Título Principal</w:t>
      </w:r>
      <w:r>
        <w:t xml:space="preserve"> (44pt, bold):</w:t>
      </w:r>
    </w:p>
    <w:p>
      <w:r>
        <w:t>PROGRAMA DE MÉTRICAS DE CIBERSEGURIDAD</w:t>
      </w:r>
      <w:r/>
      <w:r>
        <w:br/>
        <w:t>GQM + PRAGMATIC + OWASP SAMM</w:t>
      </w:r>
    </w:p>
    <w:p>
      <w:r>
        <w:rPr>
          <w:b/>
        </w:rPr>
        <w:t>Subtítulo</w:t>
      </w:r>
      <w:r>
        <w:t xml:space="preserve"> (28pt):</w:t>
      </w:r>
    </w:p>
    <w:p>
      <w:r>
        <w:t>Evaluación de Madurez y ROI de Iniciativas de Seguridad</w:t>
      </w:r>
    </w:p>
    <w:p>
      <w:r>
        <w:rPr>
          <w:b/>
        </w:rPr>
        <w:t>Pie de página</w:t>
      </w:r>
      <w:r>
        <w:t>:</w:t>
      </w:r>
      <w:r/>
      <w:r>
        <w:br/>
        <w:t>- Logo de organización (parte superior izquierda)</w:t>
      </w:r>
      <w:r/>
      <w:r>
        <w:br/>
        <w:t>- Nombre CISO / Director de Seguridad</w:t>
      </w:r>
      <w:r/>
      <w:r>
        <w:br/>
        <w:t>- Fecha: Enero 2026</w:t>
      </w:r>
      <w:r/>
      <w:r>
        <w:br/>
        <w:t>- Clasificación: [Internal / Confidential / etc.]</w:t>
      </w:r>
    </w:p>
    <w:p>
      <w:pPr>
        <w:pStyle w:val="Heading3"/>
        <w:keepNext/>
        <w:keepLines/>
      </w:pPr>
      <w:r>
        <w:t>Notas para el ponente</w:t>
      </w:r>
    </w:p>
    <w:p>
      <w:r>
        <w:t>"Buenos días. Hoy comparto nuestro programa integral de métricas de ciberseguridad. Este no es un reporte más de números; es la base para decisiones de inversión informadas y demostración de cumplimiento regulatorio."</w:t>
      </w:r>
    </w:p>
    <w:p>
      <w:pPr>
        <w:pStyle w:val="Heading2"/>
        <w:keepNext/>
        <w:keepLines/>
      </w:pPr>
      <w:r>
        <w:rPr>
          <w:color w:val="0066CC"/>
        </w:rPr>
        <w:t>SLIDE 2 — AGENDA</w:t>
      </w:r>
    </w:p>
    <w:p>
      <w:pPr>
        <w:pStyle w:val="Heading3"/>
        <w:keepNext/>
        <w:keepLines/>
      </w:pPr>
      <w:r>
        <w:t>Contenido</w:t>
      </w:r>
    </w:p>
    <w:p>
      <w:r>
        <w:t>Viñetas (6 puntos principales, 28pt):</w:t>
      </w:r>
    </w:p>
    <w:p>
      <w:pPr>
        <w:pStyle w:val="ListNumber"/>
        <w:keepLines w:val="1"/>
        <w:keepNext w:val="1"/>
        <w:widowControl w:val="1"/>
      </w:pPr>
      <w:r>
        <w:t>✓ Contexto regulatorio: Por qué necesitamos métricas ahora</w:t>
      </w:r>
    </w:p>
    <w:p>
      <w:pPr>
        <w:pStyle w:val="ListNumber"/>
        <w:keepLines w:val="1"/>
        <w:keepNext w:val="1"/>
        <w:widowControl w:val="1"/>
      </w:pPr>
      <w:r>
        <w:t>✓ Marco GQM+PRAGMATIC+SAMM: Cómo conectamos regulación con datos técnicos</w:t>
      </w:r>
    </w:p>
    <w:p>
      <w:pPr>
        <w:pStyle w:val="ListNumber"/>
        <w:keepLines w:val="1"/>
        <w:keepNext w:val="1"/>
        <w:widowControl w:val="1"/>
      </w:pPr>
      <w:r>
        <w:t>✓ Resultados clave: Dónde estamos hoy (IGM actual)</w:t>
      </w:r>
    </w:p>
    <w:p>
      <w:pPr>
        <w:pStyle w:val="ListNumber"/>
        <w:keepLines w:val="1"/>
        <w:keepNext w:val="1"/>
        <w:widowControl w:val="1"/>
      </w:pPr>
      <w:r>
        <w:t>✓ Riesgos y brechas: Qué debemos mejorar</w:t>
      </w:r>
    </w:p>
    <w:p>
      <w:pPr>
        <w:pStyle w:val="ListNumber"/>
        <w:keepLines w:val="1"/>
        <w:keepNext w:val="1"/>
        <w:widowControl w:val="1"/>
      </w:pPr>
      <w:r>
        <w:t>✓ Caso de negocio: ROI de las iniciativas propuestas</w:t>
      </w:r>
    </w:p>
    <w:p>
      <w:pPr>
        <w:pStyle w:val="ListNumber"/>
        <w:keepLines w:val="1"/>
        <w:widowControl w:val="1"/>
      </w:pPr>
      <w:r>
        <w:t>✓ Roadmap 12 meses: Hoja de ruta de mejora</w:t>
      </w:r>
    </w:p>
    <w:p>
      <w:pPr>
        <w:pStyle w:val="Heading3"/>
        <w:keepNext/>
        <w:keepLines/>
      </w:pPr>
      <w:r>
        <w:t>Visual</w:t>
      </w:r>
    </w:p>
    <w:p>
      <w:r>
        <w:t>Iconos pequeños a la izquierda de cada bullet.</w:t>
      </w:r>
    </w:p>
    <w:p>
      <w:pPr>
        <w:pStyle w:val="Heading2"/>
        <w:keepNext/>
        <w:keepLines/>
      </w:pPr>
      <w:r>
        <w:rPr>
          <w:color w:val="0066CC"/>
        </w:rPr>
        <w:t>SLIDE 3 — CONTEXTO Y OBLIGACIONES REGULATORIAS</w:t>
      </w:r>
    </w:p>
    <w:p>
      <w:pPr>
        <w:pStyle w:val="Heading3"/>
        <w:keepNext/>
        <w:keepLines/>
      </w:pPr>
      <w:r>
        <w:t>Título</w:t>
      </w:r>
    </w:p>
    <w:p>
      <w:r>
        <w:t>Por qué necesitamos un programa integral de métricas</w:t>
      </w:r>
    </w:p>
    <w:p>
      <w:pPr>
        <w:pStyle w:val="Heading3"/>
        <w:keepNext/>
        <w:keepLines/>
      </w:pPr>
      <w:r>
        <w:t>Contenido principal</w:t>
      </w:r>
    </w:p>
    <w:p>
      <w:r>
        <w:rPr>
          <w:b/>
        </w:rPr>
        <w:t>Left column — Normativa obligatoria (2 min read)</w:t>
      </w:r>
      <w:r>
        <w:t>:</w:t>
      </w:r>
    </w:p>
    <w:p>
      <w:pPr>
        <w:pStyle w:val="ListBullet"/>
        <w:keepLines w:val="1"/>
        <w:keepNext w:val="1"/>
        <w:widowControl w:val="1"/>
      </w:pPr>
      <w:r>
        <w:t>NIS2 (Directiva UE 2022/2555)</w:t>
      </w:r>
    </w:p>
    <w:p>
      <w:pPr>
        <w:pStyle w:val="ListBullet"/>
        <w:keepLines w:val="1"/>
        <w:keepNext w:val="1"/>
        <w:widowControl w:val="1"/>
      </w:pPr>
      <w:r>
        <w:t>Entrada vigencia: Ene 2023 | Transposición: Oct 2024</w:t>
      </w:r>
    </w:p>
    <w:p>
      <w:pPr>
        <w:pStyle w:val="ListBullet"/>
        <w:keepLines w:val="1"/>
        <w:keepNext w:val="1"/>
        <w:widowControl w:val="1"/>
      </w:pPr>
      <w:r>
        <w:t>Aplica a: Operadores esenciales e importantes</w:t>
      </w:r>
    </w:p>
    <w:p>
      <w:pPr>
        <w:pStyle w:val="ListBullet"/>
        <w:keepLines w:val="1"/>
        <w:keepNext w:val="1"/>
        <w:widowControl w:val="1"/>
      </w:pPr>
      <w:r>
        <w:t>Exige: Gestión de riesgos, medidas técnicas, incident response</w:t>
      </w:r>
    </w:p>
    <w:p>
      <w:pPr>
        <w:pStyle w:val="ListBullet"/>
        <w:keepLines w:val="1"/>
        <w:keepNext w:val="1"/>
        <w:widowControl w:val="1"/>
      </w:pPr>
      <w:r>
        <w:br/>
        <w:t>Art. 21: "medidas continuas y proporcionales"</w:t>
        <w:br/>
      </w:r>
    </w:p>
    <w:p>
      <w:pPr>
        <w:pStyle w:val="ListBullet"/>
        <w:keepLines w:val="1"/>
        <w:keepNext w:val="1"/>
        <w:widowControl w:val="1"/>
      </w:pPr>
      <w:r>
        <w:br/>
        <w:t>CRA (Cyber Resilience Act)</w:t>
        <w:br/>
      </w:r>
    </w:p>
    <w:p>
      <w:pPr>
        <w:pStyle w:val="ListBullet"/>
        <w:keepLines w:val="1"/>
        <w:keepNext w:val="1"/>
        <w:widowControl w:val="1"/>
      </w:pPr>
      <w:r>
        <w:t>Entrada vigencia: Dic 2024 | Conformidad técnica: Sept 2026</w:t>
      </w:r>
    </w:p>
    <w:p>
      <w:pPr>
        <w:pStyle w:val="ListBullet"/>
        <w:keepLines w:val="1"/>
        <w:keepNext w:val="1"/>
        <w:widowControl w:val="1"/>
      </w:pPr>
      <w:r>
        <w:t>Aplica a: Proveedores de productos digitales (software, IoT, etc.)</w:t>
      </w:r>
    </w:p>
    <w:p>
      <w:pPr>
        <w:pStyle w:val="ListBullet"/>
        <w:keepLines w:val="1"/>
        <w:keepNext w:val="1"/>
        <w:widowControl w:val="1"/>
      </w:pPr>
      <w:r>
        <w:t>Exige: Secure by design, eliminación de vulnerabilidades conocidas, gestión de ciclo de vida</w:t>
      </w:r>
    </w:p>
    <w:p>
      <w:pPr>
        <w:pStyle w:val="ListBullet"/>
        <w:keepLines w:val="1"/>
        <w:keepNext w:val="1"/>
        <w:widowControl w:val="1"/>
      </w:pPr>
      <w:r>
        <w:br/>
        <w:t>Art. 10: "sin vulnerabilidades explotables conocidas"</w:t>
        <w:br/>
      </w:r>
    </w:p>
    <w:p>
      <w:pPr>
        <w:pStyle w:val="ListBullet"/>
        <w:keepLines w:val="1"/>
        <w:keepNext w:val="1"/>
        <w:widowControl w:val="1"/>
      </w:pPr>
      <w:r>
        <w:br/>
        <w:t>GDPR (Reglamento UE 2016/679)</w:t>
        <w:br/>
      </w:r>
    </w:p>
    <w:p>
      <w:pPr>
        <w:pStyle w:val="ListBullet"/>
        <w:keepLines w:val="1"/>
        <w:keepNext w:val="1"/>
        <w:widowControl w:val="1"/>
      </w:pPr>
      <w:r>
        <w:t>Art. 25: Privacy by design</w:t>
      </w:r>
    </w:p>
    <w:p>
      <w:pPr>
        <w:pStyle w:val="ListBullet"/>
        <w:keepLines w:val="1"/>
        <w:keepNext w:val="1"/>
        <w:widowControl w:val="1"/>
      </w:pPr>
      <w:r>
        <w:br/>
        <w:t>Art. 32: Medidas técnicas y organizativas de seguridad</w:t>
        <w:br/>
      </w:r>
    </w:p>
    <w:p>
      <w:pPr>
        <w:pStyle w:val="ListBullet"/>
        <w:keepLines w:val="1"/>
        <w:keepNext w:val="1"/>
        <w:widowControl w:val="1"/>
      </w:pPr>
      <w:r>
        <w:br/>
        <w:t>ENS (Esquema Nacional de Seguridad)</w:t>
        <w:br/>
      </w:r>
    </w:p>
    <w:p>
      <w:pPr>
        <w:pStyle w:val="ListBullet"/>
        <w:keepLines w:val="1"/>
        <w:keepNext w:val="1"/>
        <w:widowControl w:val="1"/>
      </w:pPr>
      <w:r>
        <w:t>Aplica a: Administración Pública española</w:t>
      </w:r>
    </w:p>
    <w:p>
      <w:pPr>
        <w:pStyle w:val="ListBullet"/>
        <w:keepLines w:val="1"/>
        <w:keepNext w:val="1"/>
        <w:widowControl w:val="1"/>
      </w:pPr>
      <w:r>
        <w:br/>
        <w:t>Principios: Confidencialidad, Integridad, Disponibilidad</w:t>
        <w:br/>
      </w:r>
    </w:p>
    <w:p>
      <w:pPr>
        <w:pStyle w:val="ListBullet"/>
        <w:keepLines w:val="1"/>
        <w:keepNext w:val="1"/>
        <w:widowControl w:val="1"/>
      </w:pPr>
      <w:r>
        <w:br/>
        <w:t>DORA (Digital Operational Resilience Act)</w:t>
        <w:br/>
      </w:r>
    </w:p>
    <w:p>
      <w:pPr>
        <w:pStyle w:val="ListBullet"/>
        <w:keepLines w:val="1"/>
        <w:keepNext w:val="1"/>
        <w:widowControl w:val="1"/>
      </w:pPr>
      <w:r>
        <w:t>Aplica a: Sector financiero europeo</w:t>
      </w:r>
    </w:p>
    <w:p>
      <w:pPr>
        <w:pStyle w:val="ListBullet"/>
        <w:keepLines w:val="1"/>
        <w:keepNext w:val="1"/>
        <w:widowControl w:val="1"/>
      </w:pPr>
      <w:r>
        <w:t>Art. 16: Gestión de riesgos TIC</w:t>
      </w:r>
    </w:p>
    <w:p>
      <w:pPr>
        <w:pStyle w:val="ListBullet"/>
        <w:keepLines w:val="1"/>
        <w:widowControl w:val="1"/>
      </w:pPr>
      <w:r>
        <w:t>Art. 17: Incident reporting</w:t>
      </w:r>
    </w:p>
    <w:p>
      <w:r>
        <w:t>Art. 21: "medidas continuas y proporcionales"</w:t>
      </w:r>
    </w:p>
    <w:p>
      <w:r>
        <w:rPr>
          <w:b/>
        </w:rPr>
        <w:t>CRA</w:t>
      </w:r>
      <w:r>
        <w:t xml:space="preserve"> (Cyber Resilience Act)</w:t>
      </w:r>
    </w:p>
    <w:p>
      <w:r>
        <w:t>Art. 10: "sin vulnerabilidades explotables conocidas"</w:t>
      </w:r>
    </w:p>
    <w:p>
      <w:r>
        <w:rPr>
          <w:b/>
        </w:rPr>
        <w:t>GDPR</w:t>
      </w:r>
      <w:r>
        <w:t xml:space="preserve"> (Reglamento UE 2016/679)</w:t>
      </w:r>
    </w:p>
    <w:p>
      <w:r>
        <w:t>Art. 32: Medidas técnicas y organizativas de seguridad</w:t>
      </w:r>
    </w:p>
    <w:p>
      <w:r>
        <w:rPr>
          <w:b/>
        </w:rPr>
        <w:t>ENS</w:t>
      </w:r>
      <w:r>
        <w:t xml:space="preserve"> (Esquema Nacional de Seguridad)</w:t>
      </w:r>
    </w:p>
    <w:p>
      <w:r>
        <w:t>Principios: Confidencialidad, Integridad, Disponibilidad</w:t>
      </w:r>
    </w:p>
    <w:p>
      <w:r>
        <w:rPr>
          <w:b/>
        </w:rPr>
        <w:t>DORA</w:t>
      </w:r>
      <w:r>
        <w:t xml:space="preserve"> (Digital Operational Resilience Act)</w:t>
      </w:r>
    </w:p>
    <w:p>
      <w:r>
        <w:rPr>
          <w:b/>
        </w:rPr>
        <w:t>Right column — Implicaciones para nosotros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Normativa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Riesgo Principal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Implicación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Sanciones; operaciones interrumpidas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Demostrar medidas técnicas + procesos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CRA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Product recalls; sanciones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Eliminar vulns antes de release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Multas hasta €20M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Proteger datos personales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Auditoría / exclusión de contratación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Cumplir estándares de entidad pública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DORA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Retiro de licencia (finanzas)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Resiliencia operacional garantizada</w:t>
            </w:r>
          </w:p>
        </w:tc>
      </w:tr>
    </w:tbl>
    <w:p/>
    <w:p>
      <w:pPr>
        <w:pStyle w:val="Heading3"/>
        <w:keepNext/>
        <w:keepLines/>
      </w:pPr>
      <w:r>
        <w:t>Visual sugerido</w:t>
      </w:r>
    </w:p>
    <w:p>
      <w:pPr>
        <w:pStyle w:val="ListBullet"/>
        <w:keepLines w:val="1"/>
        <w:keepNext w:val="1"/>
        <w:widowControl w:val="1"/>
      </w:pPr>
      <w:r>
        <w:t>Timeline horizontal: 2024-2026 con hitos de cumplimiento</w:t>
      </w:r>
    </w:p>
    <w:p>
      <w:pPr>
        <w:pStyle w:val="ListBullet"/>
        <w:keepLines w:val="1"/>
        <w:widowControl w:val="1"/>
      </w:pPr>
      <w:r>
        <w:t>Iconos por norma (NIS2=🛡️, CRA=⚙️, GDPR=🔐, ENS=🏛️, DORA=💰)</w:t>
      </w:r>
    </w:p>
    <w:p>
      <w:pPr>
        <w:pStyle w:val="Heading2"/>
        <w:keepNext/>
        <w:keepLines/>
      </w:pPr>
      <w:r>
        <w:rPr>
          <w:color w:val="0066CC"/>
        </w:rPr>
        <w:t>SLIDE 4 — MARCO GQM+PRAGMATIC+SAMM</w:t>
      </w:r>
    </w:p>
    <w:p>
      <w:pPr>
        <w:pStyle w:val="Heading3"/>
        <w:keepNext/>
        <w:keepLines/>
      </w:pPr>
      <w:r>
        <w:t>Título</w:t>
      </w:r>
    </w:p>
    <w:p>
      <w:r>
        <w:t>Cómo conectamos regulación con datos técnicos</w:t>
      </w:r>
    </w:p>
    <w:p>
      <w:pPr>
        <w:pStyle w:val="Heading3"/>
        <w:keepNext/>
        <w:keepLines/>
      </w:pPr>
      <w:r>
        <w:t>Contenido principal</w:t>
      </w:r>
    </w:p>
    <w:p>
      <w:r>
        <w:rPr>
          <w:b/>
        </w:rPr>
        <w:t>Diagrama 4 niveles</w:t>
      </w:r>
      <w:r>
        <w:t xml:space="preserve"> (visual central, 60% de la diapositiva):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NIVEL 0: OBJETIVO NACIONAL</w:t>
        <w:br/>
        <w:t>├─ Regulación: NIS2 Art. 21, CRA Annex I, etc.</w:t>
        <w:br/>
        <w:t>└─ Ejemplo: "Detectar incidentes en &lt;4h"</w:t>
        <w:br/>
        <w:t xml:space="preserve">    ↓</w:t>
        <w:br/>
        <w:t>NIVEL 1: GQM GOAL (Objetivo específico)</w:t>
        <w:br/>
        <w:t>├─ Statement: "Mejorar velocidad de detección operativa"</w:t>
        <w:br/>
        <w:t>└─ Métrica: Mejorar MTTD a &lt;4h</w:t>
        <w:br/>
        <w:t xml:space="preserve">    ↓</w:t>
        <w:br/>
        <w:t>NIVEL 2: GQM QUESTIONS (Preguntas operacionales)</w:t>
        <w:br/>
        <w:t>├─ Q1: "¿Cuál es el MTTD promedio? (mean, median, P95)"</w:t>
        <w:br/>
        <w:t>├─ Q2: "¿% de detecciones son automáticas?"</w:t>
        <w:br/>
        <w:t>└─ Q3: "¿Cuáles son causas raíz de retrasos?"</w:t>
        <w:br/>
        <w:t xml:space="preserve">    ↓</w:t>
        <w:br/>
        <w:t>NIVEL 3: MÉTRICAS TÉCNICAS (Datos cuantificables)</w:t>
        <w:br/>
        <w:t>├─ M1: MTTD Mean = 12 horas (ACTUAL)</w:t>
        <w:br/>
        <w:t>├─ M2: MTTD Median = 8 horas</w:t>
        <w:br/>
        <w:t>├─ M3: MTTD P95 = 48 horas</w:t>
        <w:br/>
        <w:t>└─ M4: Autonomous Detection = 65%</w:t>
        <w:br/>
      </w:r>
    </w:p>
    <w:p>
      <w:pPr>
        <w:pStyle w:val="Heading3"/>
        <w:keepNext/>
        <w:keepLines/>
      </w:pPr>
      <w:r>
        <w:t>Bottom section — Criterios PRAGMATIC</w:t>
      </w:r>
    </w:p>
    <w:p>
      <w:r>
        <w:rPr>
          <w:b/>
        </w:rPr>
        <w:t>9 criterios de calidad de métricas</w:t>
      </w:r>
      <w:r>
        <w:t xml:space="preserve"> (matriz pequeña):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 w:val="1"/>
        </w:trPr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Meaningful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Acurado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Rentable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</w:pPr>
            <w:r>
              <w:t>¿Predice riesgo futuro?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¿Importa a stakeholders?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¿Permite decisiones?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¿Refleja realidad?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¿Significativo?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¿Medible?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¿Disponible a tiempo?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¿Auto-interpretable?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¿Costo razonable?</w:t>
            </w:r>
          </w:p>
        </w:tc>
      </w:tr>
    </w:tbl>
    <w:p/>
    <w:p>
      <w:pPr>
        <w:pStyle w:val="Heading3"/>
        <w:keepNext/>
        <w:keepLines/>
      </w:pPr>
      <w:r>
        <w:t>Notas para el ponente</w:t>
      </w:r>
    </w:p>
    <w:p>
      <w:r>
        <w:t>"El marco GQM+PRAGMATIC no es nuevo; lo usan NASA y Harvard desde hace 25 años. Hemos adaptado estas metodologías probadas a nuestro contexto de ciberseguridad española."</w:t>
      </w:r>
    </w:p>
    <w:p>
      <w:pPr>
        <w:pStyle w:val="Heading2"/>
        <w:keepNext/>
        <w:keepLines/>
      </w:pPr>
      <w:r>
        <w:rPr>
          <w:color w:val="0066CC"/>
        </w:rPr>
        <w:t>SLIDE 5 — DOMINIO SAMM Y COBERTURA</w:t>
      </w:r>
    </w:p>
    <w:p>
      <w:pPr>
        <w:pStyle w:val="Heading3"/>
        <w:keepNext/>
        <w:keepLines/>
      </w:pPr>
      <w:r>
        <w:t>Título</w:t>
      </w:r>
    </w:p>
    <w:p>
      <w:r>
        <w:t>Cobertura de indicadores por dominio SAMM v2</w:t>
      </w:r>
    </w:p>
    <w:p>
      <w:pPr>
        <w:pStyle w:val="Heading3"/>
        <w:keepNext/>
        <w:keepLines/>
      </w:pPr>
      <w:r>
        <w:t>Contenido visual</w:t>
      </w:r>
    </w:p>
    <w:p>
      <w:r>
        <w:rPr>
          <w:b/>
        </w:rPr>
        <w:t>Gráfico de radar o tabla con 6 dominios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Métricas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Implementadas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% Cobertura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Gobernanza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🟡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Diseño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67%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🟡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Implementación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100%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🟢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Verificación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🟡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Operaciones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71%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🟡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Capacitación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25%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🔴</w:t>
            </w:r>
          </w:p>
        </w:tc>
      </w:tr>
    </w:tbl>
    <w:p/>
    <w:p>
      <w:pPr>
        <w:pStyle w:val="Heading3"/>
        <w:keepNext/>
        <w:keepLines/>
      </w:pPr>
      <w:r>
        <w:t>Interpretación</w:t>
      </w:r>
    </w:p>
    <w:p>
      <w:r>
        <w:t>"Vemos fortaleza en Implementación (100% cobertura) gracias a nuestra madurez en DevSecOps. Pero tenemos brechas significativas en Capacitación (25%) y Gobernanza (50%). Esto refleja donde debemos enfocar inversión."</w:t>
      </w:r>
    </w:p>
    <w:p>
      <w:pPr>
        <w:pStyle w:val="Heading2"/>
        <w:keepNext/>
        <w:keepLines/>
      </w:pPr>
      <w:r>
        <w:rPr>
          <w:color w:val="0066CC"/>
        </w:rPr>
        <w:t>SLIDE 6 — TOP 10 MÉTRICAS (RANKING PRAGMATIC)</w:t>
      </w:r>
    </w:p>
    <w:p>
      <w:pPr>
        <w:pStyle w:val="Heading3"/>
        <w:keepNext/>
        <w:keepLines/>
      </w:pPr>
      <w:r>
        <w:t>Título</w:t>
      </w:r>
    </w:p>
    <w:p>
      <w:r>
        <w:t>Las 10 métricas con mejor calidad (Score PRAGMATIC)</w:t>
      </w:r>
    </w:p>
    <w:p>
      <w:pPr>
        <w:pStyle w:val="Heading3"/>
        <w:keepNext/>
        <w:keepLines/>
      </w:pPr>
      <w:r>
        <w:t>Contenido</w:t>
      </w:r>
    </w:p>
    <w:p>
      <w:r>
        <w:rPr>
          <w:b/>
        </w:rPr>
        <w:t>Tabla horizontal con 10 filas</w:t>
      </w:r>
      <w:r>
        <w:t xml:space="preserve"> (20pt letra):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Rank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 Score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 Prioridad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🥇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SAST Integration Coverage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95.6%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⭐⭐⭐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🥈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EPSS Score Adoption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VULN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93.3%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⭐⭐⭐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🥉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MTTD Mean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OPS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91.1%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⭐⭐⭐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Threat Model Coverage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88.9%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⭐⭐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MTTR Critical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OPS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88.9%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⭐⭐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Pre-Prod Vuln Closure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88.9%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⭐⭐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Patch Compliance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OPS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88.9%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⭐⭐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KPI Tracking Coverage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88.9%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⭐⭐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Phishing Click Rate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TRAIN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86.7%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⭐⭐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10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Strategy Documentation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GOV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86.7%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⭐⭐</w:t>
            </w:r>
          </w:p>
        </w:tc>
      </w:tr>
    </w:tbl>
    <w:p/>
    <w:p>
      <w:pPr>
        <w:pStyle w:val="Heading3"/>
        <w:keepNext/>
        <w:keepLines/>
      </w:pPr>
      <w:r>
        <w:t>Interpretación</w:t>
      </w:r>
    </w:p>
    <w:p>
      <w:r>
        <w:t>"No todas las métricas valen lo mismo. Las primeras 3 (SAST, EPSS, MTTD) tienen scores PRAGMATIC &gt;90%, lo que significa que son altamente predictivas, accionables y medibles. Estas son nuestras 'quick wins'."</w:t>
      </w:r>
    </w:p>
    <w:p>
      <w:pPr>
        <w:pStyle w:val="Heading2"/>
        <w:keepNext/>
        <w:keepLines/>
      </w:pPr>
      <w:r>
        <w:rPr>
          <w:color w:val="0066CC"/>
        </w:rPr>
        <w:t>SLIDE 7 — ÍNDICE GLOBAL DE MADUREZ (IGM)</w:t>
      </w:r>
    </w:p>
    <w:p>
      <w:pPr>
        <w:pStyle w:val="Heading3"/>
        <w:keepNext/>
        <w:keepLines/>
      </w:pPr>
      <w:r>
        <w:t>Título</w:t>
      </w:r>
    </w:p>
    <w:p>
      <w:r>
        <w:t>Nuestra foto actual de madurez de seguridad</w:t>
      </w:r>
    </w:p>
    <w:p>
      <w:pPr>
        <w:pStyle w:val="Heading3"/>
        <w:keepNext/>
        <w:keepLines/>
      </w:pPr>
      <w:r>
        <w:t>Contenido visual</w:t>
      </w:r>
    </w:p>
    <w:p>
      <w:r>
        <w:rPr>
          <w:b/>
        </w:rPr>
        <w:t>Central: Número grande IGM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╔════════════════════════╗</w:t>
        <w:br/>
        <w:t>║      IGM = 63 / 100    ║</w:t>
        <w:br/>
        <w:t>║    (63% Madurez)       ║</w:t>
        <w:br/>
        <w:t>╚════════════════════════╝</w:t>
        <w:br/>
      </w:r>
    </w:p>
    <w:p>
      <w:r>
        <w:rPr>
          <w:b/>
        </w:rPr>
        <w:t>Gráfico de barras horizontal</w:t>
      </w:r>
      <w:r>
        <w:t xml:space="preserve"> (60% de diapositiva):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Gobernanza    ████░░░░░░ 40%</w:t>
        <w:br/>
        <w:t>Diseño        █████░░░░░ 45%</w:t>
        <w:br/>
        <w:t>Implementación ███████░░░ 70%</w:t>
        <w:br/>
        <w:t>Verificación  ████░░░░░░ 42%</w:t>
        <w:br/>
        <w:t>Operaciones   ██████░░░░ 60%</w:t>
        <w:br/>
        <w:t>Capacitación  ██░░░░░░░░ 20%</w:t>
        <w:br/>
        <w:t>─────────────────────────</w:t>
        <w:br/>
        <w:t>IGM Global    ███████░░░ 63%</w:t>
        <w:br/>
        <w:t>Meta 2026               80%</w:t>
        <w:br/>
      </w:r>
    </w:p>
    <w:p>
      <w:pPr>
        <w:pStyle w:val="Heading3"/>
        <w:keepNext/>
        <w:keepLines/>
      </w:pPr>
      <w:r>
        <w:t>Interpretación</w:t>
      </w:r>
    </w:p>
    <w:p>
      <w:r>
        <w:t>"Estamos en 63/100. Nuestra meta para 2026 es 80 (línea azul). Esto representa 17 puntos adicionales de madurez, alcanzable con las iniciativas que proponemos hoy."</w:t>
      </w:r>
    </w:p>
    <w:p>
      <w:pPr>
        <w:pStyle w:val="Heading2"/>
        <w:keepNext/>
        <w:keepLines/>
      </w:pPr>
      <w:r>
        <w:rPr>
          <w:color w:val="0066CC"/>
        </w:rPr>
        <w:t>SLIDE 8 — EVOLUCIÓN IGM (Histórico si existe)</w:t>
      </w:r>
    </w:p>
    <w:p>
      <w:pPr>
        <w:pStyle w:val="Heading3"/>
        <w:keepNext/>
        <w:keepLines/>
      </w:pPr>
      <w:r>
        <w:t>Título</w:t>
      </w:r>
    </w:p>
    <w:p>
      <w:r>
        <w:t>Progreso de madurez (últimos 12-24 meses)</w:t>
      </w:r>
    </w:p>
    <w:p>
      <w:pPr>
        <w:pStyle w:val="Heading3"/>
        <w:keepNext/>
        <w:keepLines/>
      </w:pPr>
      <w:r>
        <w:t>Contenido visual</w:t>
      </w:r>
    </w:p>
    <w:p>
      <w:r>
        <w:rPr>
          <w:b/>
        </w:rPr>
        <w:t>Gráfico de línea con tendencia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</w:t>
        <w:br/>
        <w:t>100 ┤</w:t>
        <w:br/>
        <w:t xml:space="preserve">    ├ ╱─ Meta 2026</w:t>
        <w:br/>
        <w:t xml:space="preserve"> 80 ├╱</w:t>
        <w:br/>
        <w:t xml:space="preserve">    │</w:t>
        <w:br/>
        <w:t xml:space="preserve"> 60 ├───●──●──●──●</w:t>
        <w:br/>
        <w:t xml:space="preserve">    │  Q2 Q3 Q4 Q1 2026</w:t>
        <w:br/>
        <w:t xml:space="preserve"> 40 ├</w:t>
        <w:br/>
        <w:t xml:space="preserve">    │</w:t>
        <w:br/>
        <w:t xml:space="preserve">  0 └────────────────</w:t>
        <w:br/>
        <w:t xml:space="preserve">    2024    2025   2026</w:t>
        <w:br/>
      </w:r>
    </w:p>
    <w:p>
      <w:pPr>
        <w:pStyle w:val="Heading3"/>
        <w:keepNext/>
        <w:keepLines/>
      </w:pPr>
      <w:r>
        <w:t>Anotaciones sobre la línea</w:t>
      </w:r>
    </w:p>
    <w:p>
      <w:pPr>
        <w:pStyle w:val="ListBullet"/>
        <w:keepLines w:val="1"/>
        <w:keepNext w:val="1"/>
        <w:widowControl w:val="1"/>
      </w:pPr>
      <w:r>
        <w:t>Q2 2024: "IGM 50" — Baseline establecida</w:t>
      </w:r>
    </w:p>
    <w:p>
      <w:pPr>
        <w:pStyle w:val="ListBullet"/>
        <w:keepLines w:val="1"/>
        <w:keepNext w:val="1"/>
        <w:widowControl w:val="1"/>
      </w:pPr>
      <w:r>
        <w:t>Q4 2024: "IGM 58" — Post SAST integration</w:t>
      </w:r>
    </w:p>
    <w:p>
      <w:pPr>
        <w:pStyle w:val="ListBullet"/>
        <w:keepLines w:val="1"/>
        <w:keepNext w:val="1"/>
        <w:widowControl w:val="1"/>
      </w:pPr>
      <w:r>
        <w:t>Q1 2025: "IGM 63" — Post SIEM improvement + formación</w:t>
      </w:r>
    </w:p>
    <w:p>
      <w:pPr>
        <w:pStyle w:val="ListBullet"/>
        <w:keepLines w:val="1"/>
        <w:widowControl w:val="1"/>
      </w:pPr>
      <w:r>
        <w:t>Q4 2026 (goal): "IGM 80" — Full program deployment</w:t>
      </w:r>
    </w:p>
    <w:p>
      <w:pPr>
        <w:pStyle w:val="Heading3"/>
        <w:keepNext/>
        <w:keepLines/>
      </w:pPr>
      <w:r>
        <w:t>Notas para el ponente</w:t>
      </w:r>
    </w:p>
    <w:p>
      <w:r>
        <w:t>"Hemos crecido 13 puntos en 12 meses (50→63). A este ritmo, alcanzamos 80 en otros 12-18 meses, asumiendo inversión sostenida."</w:t>
      </w:r>
    </w:p>
    <w:p>
      <w:pPr>
        <w:pStyle w:val="Heading2"/>
        <w:keepNext/>
        <w:keepLines/>
      </w:pPr>
      <w:r>
        <w:rPr>
          <w:color w:val="0066CC"/>
        </w:rPr>
        <w:t>SLIDE 9 — RIESGOS Y BRECHAS CLAVE</w:t>
      </w:r>
    </w:p>
    <w:p>
      <w:pPr>
        <w:pStyle w:val="Heading3"/>
        <w:keepNext/>
        <w:keepLines/>
      </w:pPr>
      <w:r>
        <w:t>Título</w:t>
      </w:r>
    </w:p>
    <w:p>
      <w:r>
        <w:t>Riesgos identificados y brecha a regulación</w:t>
      </w:r>
    </w:p>
    <w:p>
      <w:pPr>
        <w:pStyle w:val="Heading3"/>
        <w:keepNext/>
        <w:keepLines/>
      </w:pPr>
      <w:r>
        <w:t>Contenido</w:t>
      </w:r>
    </w:p>
    <w:p>
      <w:r>
        <w:rPr>
          <w:b/>
        </w:rPr>
        <w:t>5 brechas críticas</w:t>
      </w:r>
      <w:r>
        <w:t xml:space="preserve"> (formato: Brecha | Riesgo | Normativa | Acción):</w:t>
      </w:r>
    </w:p>
    <w:p>
      <w:pPr>
        <w:pStyle w:val="ListNumber"/>
        <w:keepLines w:val="1"/>
        <w:keepNext w:val="1"/>
        <w:widowControl w:val="1"/>
      </w:pPr>
      <w:r>
        <w:t>MTTD &gt; 12h (objetivo: &lt;4h)</w:t>
      </w:r>
    </w:p>
    <w:p>
      <w:pPr>
        <w:pStyle w:val="ListNumber"/>
        <w:keepLines w:val="1"/>
        <w:keepNext w:val="1"/>
        <w:widowControl w:val="1"/>
      </w:pPr>
      <w:r>
        <w:t>Riesgo: Exposición prolongada; incidentes no contenidos</w:t>
      </w:r>
    </w:p>
    <w:p>
      <w:pPr>
        <w:pStyle w:val="ListNumber"/>
        <w:keepLines w:val="1"/>
        <w:keepNext w:val="1"/>
        <w:widowControl w:val="1"/>
      </w:pPr>
      <w:r>
        <w:t>Normativa: NIS2 Art. 21.2(b)(c); DORA Art. 16</w:t>
      </w:r>
    </w:p>
    <w:p>
      <w:pPr>
        <w:pStyle w:val="ListNumber"/>
        <w:keepLines w:val="1"/>
        <w:keepNext w:val="1"/>
        <w:widowControl w:val="1"/>
      </w:pPr>
      <w:r>
        <w:br/>
        <w:t>Acción: Inversión SIEM + ML rules + SOC hire</w:t>
        <w:br/>
      </w:r>
    </w:p>
    <w:p>
      <w:pPr>
        <w:pStyle w:val="ListNumber"/>
        <w:keepLines w:val="1"/>
        <w:keepNext w:val="1"/>
        <w:widowControl w:val="1"/>
      </w:pPr>
      <w:r>
        <w:br/>
        <w:t>Threat Modeling Coverage 50% (objetivo: 90%)</w:t>
        <w:br/>
      </w:r>
    </w:p>
    <w:p>
      <w:pPr>
        <w:pStyle w:val="ListNumber"/>
        <w:keepLines w:val="1"/>
        <w:keepNext w:val="1"/>
        <w:widowControl w:val="1"/>
      </w:pPr>
      <w:r>
        <w:t>Riesgo: Vulnerabilidades de diseño detectadas post-producción</w:t>
      </w:r>
    </w:p>
    <w:p>
      <w:pPr>
        <w:pStyle w:val="ListNumber"/>
        <w:keepLines w:val="1"/>
        <w:keepNext w:val="1"/>
        <w:widowControl w:val="1"/>
      </w:pPr>
      <w:r>
        <w:t>Normativa: CRA "Secure by Design" (Art. 10)</w:t>
      </w:r>
    </w:p>
    <w:p>
      <w:pPr>
        <w:pStyle w:val="ListNumber"/>
        <w:keepLines w:val="1"/>
        <w:keepNext w:val="1"/>
        <w:widowControl w:val="1"/>
      </w:pPr>
      <w:r>
        <w:br/>
        <w:t>Acción: Training arquitectos; herramientas modeling</w:t>
        <w:br/>
      </w:r>
    </w:p>
    <w:p>
      <w:pPr>
        <w:pStyle w:val="ListNumber"/>
        <w:keepLines w:val="1"/>
        <w:keepNext w:val="1"/>
        <w:widowControl w:val="1"/>
      </w:pPr>
      <w:r>
        <w:br/>
        <w:t>Phishing Click-Rate 12% (objetivo: &lt;5%)</w:t>
        <w:br/>
      </w:r>
    </w:p>
    <w:p>
      <w:pPr>
        <w:pStyle w:val="ListNumber"/>
        <w:keepLines w:val="1"/>
        <w:keepNext w:val="1"/>
        <w:widowControl w:val="1"/>
      </w:pPr>
      <w:r>
        <w:t>Riesgo: Incidentes por phishing no prevenibles</w:t>
      </w:r>
    </w:p>
    <w:p>
      <w:pPr>
        <w:pStyle w:val="ListNumber"/>
        <w:keepLines w:val="1"/>
        <w:keepNext w:val="1"/>
        <w:widowControl w:val="1"/>
      </w:pPr>
      <w:r>
        <w:t>Normativa: NIS2 Art. 21.2(g); GDPR Art. 32</w:t>
      </w:r>
    </w:p>
    <w:p>
      <w:pPr>
        <w:pStyle w:val="ListNumber"/>
        <w:keepLines w:val="1"/>
        <w:keepNext w:val="1"/>
        <w:widowControl w:val="1"/>
      </w:pPr>
      <w:r>
        <w:br/>
        <w:t>Acción: Programa formación intensivo; simulaciones mensuales</w:t>
        <w:br/>
      </w:r>
    </w:p>
    <w:p>
      <w:pPr>
        <w:pStyle w:val="ListNumber"/>
        <w:keepLines w:val="1"/>
        <w:keepNext w:val="1"/>
        <w:widowControl w:val="1"/>
      </w:pPr>
      <w:r>
        <w:br/>
        <w:t>Capacitación completada 75% (objetivo: 95%+)</w:t>
        <w:br/>
      </w:r>
    </w:p>
    <w:p>
      <w:pPr>
        <w:pStyle w:val="ListNumber"/>
        <w:keepLines w:val="1"/>
        <w:keepNext w:val="1"/>
        <w:widowControl w:val="1"/>
      </w:pPr>
      <w:r>
        <w:t>Riesgo: Empleados sin sensibilización en riesgos</w:t>
      </w:r>
    </w:p>
    <w:p>
      <w:pPr>
        <w:pStyle w:val="ListNumber"/>
        <w:keepLines w:val="1"/>
        <w:keepNext w:val="1"/>
        <w:widowControl w:val="1"/>
      </w:pPr>
      <w:r>
        <w:t>Normativa: NIS2 Art. 21.2(g); GDPR Art. 32</w:t>
      </w:r>
    </w:p>
    <w:p>
      <w:pPr>
        <w:pStyle w:val="ListNumber"/>
        <w:keepLines w:val="1"/>
        <w:keepNext w:val="1"/>
        <w:widowControl w:val="1"/>
      </w:pPr>
      <w:r>
        <w:br/>
        <w:t>Acción: Automatizar recordatorios; gamificación</w:t>
        <w:br/>
      </w:r>
    </w:p>
    <w:p>
      <w:pPr>
        <w:pStyle w:val="ListNumber"/>
        <w:keepLines w:val="1"/>
        <w:keepNext w:val="1"/>
        <w:widowControl w:val="1"/>
      </w:pPr>
      <w:r>
        <w:br/>
        <w:t>Gobernanza débil (Strategy review 1x/año)</w:t>
        <w:br/>
      </w:r>
    </w:p>
    <w:p>
      <w:pPr>
        <w:pStyle w:val="ListNumber"/>
        <w:keepLines w:val="1"/>
        <w:keepNext w:val="1"/>
        <w:widowControl w:val="1"/>
      </w:pPr>
      <w:r>
        <w:t>Riesgo: Desalineación entre negocio y seguridad</w:t>
      </w:r>
    </w:p>
    <w:p>
      <w:pPr>
        <w:pStyle w:val="ListNumber"/>
        <w:keepLines w:val="1"/>
        <w:keepNext w:val="1"/>
        <w:widowControl w:val="1"/>
      </w:pPr>
      <w:r>
        <w:t>Normativa: NIS2 Art. 20 (governance); CRA (alineación)</w:t>
      </w:r>
    </w:p>
    <w:p>
      <w:pPr>
        <w:pStyle w:val="ListNumber"/>
        <w:keepLines w:val="1"/>
        <w:widowControl w:val="1"/>
      </w:pPr>
      <w:r>
        <w:t>Acción: Revisar estrategia 2x/año; comunicación trimestral</w:t>
      </w:r>
    </w:p>
    <w:p>
      <w:r>
        <w:t>Acción: Inversión SIEM + ML rules + SOC hire</w:t>
      </w:r>
    </w:p>
    <w:p>
      <w:r>
        <w:rPr>
          <w:b/>
        </w:rPr>
        <w:t>Threat Modeling Coverage 50%</w:t>
      </w:r>
      <w:r>
        <w:t xml:space="preserve"> (objetivo: 90%)</w:t>
      </w:r>
    </w:p>
    <w:p>
      <w:r>
        <w:t>Acción: Training arquitectos; herramientas modeling</w:t>
      </w:r>
    </w:p>
    <w:p>
      <w:r>
        <w:rPr>
          <w:b/>
        </w:rPr>
        <w:t>Phishing Click-Rate 12%</w:t>
      </w:r>
      <w:r>
        <w:t xml:space="preserve"> (objetivo: &lt;5%)</w:t>
      </w:r>
    </w:p>
    <w:p>
      <w:r>
        <w:t>Acción: Programa formación intensivo; simulaciones mensuales</w:t>
      </w:r>
    </w:p>
    <w:p>
      <w:r>
        <w:rPr>
          <w:b/>
        </w:rPr>
        <w:t>Capacitación completada 75%</w:t>
      </w:r>
      <w:r>
        <w:t xml:space="preserve"> (objetivo: 95%+)</w:t>
      </w:r>
    </w:p>
    <w:p>
      <w:r>
        <w:t>Acción: Automatizar recordatorios; gamificación</w:t>
      </w:r>
    </w:p>
    <w:p>
      <w:r>
        <w:rPr>
          <w:b/>
        </w:rPr>
        <w:t>Gobernanza débil (Strategy review 1x/año)</w:t>
      </w:r>
    </w:p>
    <w:p>
      <w:pPr>
        <w:pStyle w:val="Heading3"/>
        <w:keepNext/>
        <w:keepLines/>
      </w:pPr>
      <w:r>
        <w:t>Visual</w:t>
      </w:r>
    </w:p>
    <w:p>
      <w:r>
        <w:t>Cada brecha con "semáforo" 🔴 / 🟡 / 🟢 de urgencia.</w:t>
      </w:r>
    </w:p>
    <w:p>
      <w:pPr>
        <w:pStyle w:val="Heading2"/>
        <w:keepNext/>
        <w:keepLines/>
      </w:pPr>
      <w:r>
        <w:rPr>
          <w:color w:val="0066CC"/>
        </w:rPr>
        <w:t>SLIDE 10 — CASO DE NEGOCIO Y ROI</w:t>
      </w:r>
    </w:p>
    <w:p>
      <w:pPr>
        <w:pStyle w:val="Heading3"/>
        <w:keepNext/>
        <w:keepLines/>
      </w:pPr>
      <w:r>
        <w:t>Título</w:t>
      </w:r>
    </w:p>
    <w:p>
      <w:r>
        <w:t>ROI de iniciativas propuestas (3 años)</w:t>
      </w:r>
    </w:p>
    <w:p>
      <w:pPr>
        <w:pStyle w:val="Heading3"/>
        <w:keepNext/>
        <w:keepLines/>
      </w:pPr>
      <w:r>
        <w:t>Contenido</w:t>
      </w:r>
    </w:p>
    <w:p>
      <w:r>
        <w:rPr>
          <w:b/>
        </w:rPr>
        <w:t>Tabla con iniciativas prioritarias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Iniciativa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Coste Total (€)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Beneficio Anual (€)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Ahorro 3 años (€)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ROI (%)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Payback (años)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ΔIGM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1. SAST en CI/CD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75k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35k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105k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40%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+5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2. SIEM + ML Rules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135k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60k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180k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33%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+8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3. Red Team + Pentesting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50k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25k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75k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50%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2.0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+4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4. Formación intensiva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30k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15k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45k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50%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2.0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+3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5. Threat Modeling Tools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20k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10k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30k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50%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2.0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+3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TOTAL PROGRAMA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310k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145k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435k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40%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2.1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+23</w:t>
            </w:r>
          </w:p>
        </w:tc>
      </w:tr>
    </w:tbl>
    <w:p/>
    <w:p>
      <w:pPr>
        <w:pStyle w:val="Heading3"/>
        <w:keepNext/>
        <w:keepLines/>
      </w:pPr>
      <w:r>
        <w:t>Interpretación</w:t>
      </w:r>
    </w:p>
    <w:p>
      <w:r>
        <w:t>"Invertimos €310k en 3 años (€103k/año promedio). Recuperamos esa inversión en 2.1 años. El beneficio calculado es conservador (solo costo de incidentes evitados). Además, mejoramos IGM en +23 puntos (63→86), superando meta de 80."</w:t>
      </w:r>
    </w:p>
    <w:p>
      <w:pPr>
        <w:pStyle w:val="Heading3"/>
        <w:keepNext/>
        <w:keepLines/>
      </w:pPr>
      <w:r>
        <w:t>Visual gráfico</w:t>
      </w:r>
    </w:p>
    <w:p>
      <w:pPr>
        <w:pStyle w:val="ListBullet"/>
        <w:keepLines w:val="1"/>
        <w:keepNext w:val="1"/>
        <w:widowControl w:val="1"/>
      </w:pPr>
      <w:r>
        <w:t>Columna del lado izquierdo: Coste (€310k en rojo)</w:t>
      </w:r>
    </w:p>
    <w:p>
      <w:pPr>
        <w:pStyle w:val="ListBullet"/>
        <w:keepLines w:val="1"/>
        <w:keepNext w:val="1"/>
        <w:widowControl w:val="1"/>
      </w:pPr>
      <w:r>
        <w:t>Columna central: Beneficio acumulado 3 años (€435k en verde)</w:t>
      </w:r>
    </w:p>
    <w:p>
      <w:pPr>
        <w:pStyle w:val="ListBullet"/>
        <w:keepLines w:val="1"/>
        <w:widowControl w:val="1"/>
      </w:pPr>
      <w:r>
        <w:t>Diferencia: +€125k neto (en azul)</w:t>
      </w:r>
    </w:p>
    <w:p>
      <w:pPr>
        <w:pStyle w:val="Heading2"/>
        <w:keepNext/>
        <w:keepLines/>
      </w:pPr>
      <w:r>
        <w:rPr>
          <w:color w:val="0066CC"/>
        </w:rPr>
        <w:t>SLIDE 11 — ROADMAP 12-18 MESES</w:t>
      </w:r>
    </w:p>
    <w:p>
      <w:pPr>
        <w:pStyle w:val="Heading3"/>
        <w:keepNext/>
        <w:keepLines/>
      </w:pPr>
      <w:r>
        <w:t>Título</w:t>
      </w:r>
    </w:p>
    <w:p>
      <w:r>
        <w:t>Plan de ejecución por trimestre</w:t>
      </w:r>
    </w:p>
    <w:p>
      <w:pPr>
        <w:pStyle w:val="Heading3"/>
        <w:keepNext/>
        <w:keepLines/>
      </w:pPr>
      <w:r>
        <w:t>Contenido visual</w:t>
      </w:r>
    </w:p>
    <w:p>
      <w:r>
        <w:rPr>
          <w:b/>
        </w:rPr>
        <w:t>Timeline horizontal con 4 trimestres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────────────────────────────────────────────────────────</w:t>
        <w:br/>
        <w:t xml:space="preserve">    Q1 2026         Q2 2026         Q3 2026         Q4 2026</w:t>
        <w:br/>
        <w:t>────────────────────────────────────────────────────────</w:t>
        <w:br/>
        <w:br/>
        <w:t>┌─ QUICK WINS ─┐  ┌─ CONSOLIDATION ─┐  ┌─ EXPANSION ─┐  ┌─ OPTIMIZATION ─┐</w:t>
        <w:br/>
        <w:t>│              │  │                   │  │             │  │                 │</w:t>
        <w:br/>
        <w:t>├─ SAST CI/CD │  ├─ Threat modeling  │  ├─ EPSS feed │  ├─ Governance KPIs</w:t>
        <w:br/>
        <w:t>├─ MTTD SIEM  │  ├─ MTTR SLA track  │  ├─ SIEM tune  │  ├─ Annual review</w:t>
        <w:br/>
        <w:t>├─ Phishing   │  ├─ Patch mgmt      │  ├─ Red team  │  ├─ Optimization</w:t>
        <w:br/>
        <w:t>├─ Scan cov.  │  ├─ Pentesting Q2   │  └─ Capac.    │  ├─ Next phase plan</w:t>
        <w:br/>
        <w:t>│ Budget: €10k│  │ Budget: €15k      │  │ Budget: €25k│  │ Budget: €20k</w:t>
        <w:br/>
        <w:t>│ Effort: 0.5 │  │ Effort: 1 FTE     │  │ Effort: 1.5 │  │ Effort: 1 FTE</w:t>
        <w:br/>
        <w:t>│ 5 metrics   │  │ +4 metrics        │  │ +6 metrics  │  │ Governance</w:t>
        <w:br/>
        <w:t>└─────────────┘  └───────────────────┘  └─────────────┘  └─────────────────┘</w:t>
        <w:br/>
      </w:r>
    </w:p>
    <w:p>
      <w:pPr>
        <w:pStyle w:val="Heading3"/>
        <w:keepNext/>
        <w:keepLines/>
      </w:pPr>
      <w:r>
        <w:t>Tabla resumen por trimestre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Trimestre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 IGM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Iniciativas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Presupuesto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Métricas Implementadas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Q1 2026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SAST, MTTD, Phishing, Scan, Build gates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Q2 2026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€15k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Threat models, MTTR, Patch, Pentesting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Q3 2026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€25k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EPSS, SIEM tuning, Red team, formación avanzada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Q4 2026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80+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€20k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Governance KPIs, documentación, roadmap 2027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SLIDE 12 — MENSAJES CLAVE AL BOARD</w:t>
      </w:r>
    </w:p>
    <w:p>
      <w:pPr>
        <w:pStyle w:val="Heading3"/>
        <w:keepNext/>
        <w:keepLines/>
      </w:pPr>
      <w:r>
        <w:t>Título</w:t>
      </w:r>
    </w:p>
    <w:p>
      <w:r>
        <w:t>Lo que necesita saber el Consejo</w:t>
      </w:r>
    </w:p>
    <w:p>
      <w:pPr>
        <w:pStyle w:val="Heading3"/>
        <w:keepNext/>
        <w:keepLines/>
      </w:pPr>
      <w:r>
        <w:t>Contenido (3-4 bullets grandes, 32pt)</w:t>
      </w:r>
    </w:p>
    <w:p>
      <w:r>
        <w:t xml:space="preserve">✅ </w:t>
      </w:r>
      <w:r>
        <w:rPr>
          <w:b/>
        </w:rPr>
        <w:t>"Pasamos de percepciones a métricas trazables"</w:t>
      </w:r>
      <w:r/>
      <w:r>
        <w:br/>
        <w:t xml:space="preserve">   - Cada indicador se conecta directamente a NIS2, CRA, GDPR, ENS, DORA</w:t>
      </w:r>
      <w:r/>
      <w:r>
        <w:br/>
        <w:t xml:space="preserve">   - Auditable, defendible, reproducible</w:t>
      </w:r>
      <w:r/>
      <w:r>
        <w:br/>
        <w:t xml:space="preserve">   - Comunicamos con datos, no con opiniones</w:t>
      </w:r>
    </w:p>
    <w:p>
      <w:r>
        <w:t xml:space="preserve">✅ </w:t>
      </w:r>
      <w:r>
        <w:rPr>
          <w:b/>
        </w:rPr>
        <w:t>"Sabemos exactamente dónde estamos y qué nos falta"</w:t>
      </w:r>
      <w:r/>
      <w:r>
        <w:br/>
        <w:t xml:space="preserve">   - IGM Actual: 63/100</w:t>
      </w:r>
      <w:r/>
      <w:r>
        <w:br/>
        <w:t xml:space="preserve">   - Meta 2026: 80/100</w:t>
      </w:r>
      <w:r/>
      <w:r>
        <w:br/>
        <w:t xml:space="preserve">   - Brecha: 17 puntos (alcanzable con roadmap propuesto)</w:t>
      </w:r>
    </w:p>
    <w:p>
      <w:r>
        <w:t xml:space="preserve">✅ </w:t>
      </w:r>
      <w:r>
        <w:rPr>
          <w:b/>
        </w:rPr>
        <w:t>"Cada euro invertido genera retorno medible"</w:t>
      </w:r>
      <w:r/>
      <w:r>
        <w:br/>
        <w:t xml:space="preserve">   - ROI promedio: 40% en 3 años</w:t>
      </w:r>
      <w:r/>
      <w:r>
        <w:br/>
        <w:t xml:space="preserve">   - Payback: 2.1 años</w:t>
      </w:r>
      <w:r/>
      <w:r>
        <w:br/>
        <w:t xml:space="preserve">   - Además: +23 puntos IGM (hacia cumplimiento regulatorio)</w:t>
      </w:r>
    </w:p>
    <w:p>
      <w:r>
        <w:t xml:space="preserve">✅ </w:t>
      </w:r>
      <w:r>
        <w:rPr>
          <w:b/>
        </w:rPr>
        <w:t>"El programa es realista, incremental, pragmático"</w:t>
      </w:r>
      <w:r/>
      <w:r>
        <w:br/>
        <w:t xml:space="preserve">   - Quick wins en Q1 (3 semanas, €10k)</w:t>
      </w:r>
      <w:r/>
      <w:r>
        <w:br/>
        <w:t xml:space="preserve">   - Escalable; no requiere transformación radical</w:t>
      </w:r>
      <w:r/>
      <w:r>
        <w:br/>
        <w:t xml:space="preserve">   - Alineado con capacidad operativa actual</w:t>
      </w:r>
    </w:p>
    <w:p>
      <w:pPr>
        <w:pStyle w:val="Heading2"/>
        <w:keepNext/>
        <w:keepLines/>
      </w:pPr>
      <w:r>
        <w:rPr>
          <w:color w:val="0066CC"/>
        </w:rPr>
        <w:t>SLIDE 13 — PRÓXIMOS PASOS (30-90 DÍAS)</w:t>
      </w:r>
    </w:p>
    <w:p>
      <w:pPr>
        <w:pStyle w:val="Heading3"/>
        <w:keepNext/>
        <w:keepLines/>
      </w:pPr>
      <w:r>
        <w:t>Título</w:t>
      </w:r>
    </w:p>
    <w:p>
      <w:r>
        <w:t>Acciones inmediatas (por responsable)</w:t>
      </w:r>
    </w:p>
    <w:p>
      <w:pPr>
        <w:pStyle w:val="Heading3"/>
        <w:keepNext/>
        <w:keepLines/>
      </w:pPr>
      <w:r>
        <w:t>Contenido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Deliverable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Validar top 5 métricas con propietarios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 feb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Lista de owners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DevSecOps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Implementar SAST en CI/CD (Q1 Quick Win)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15 mar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SAST activo 80%+ apps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SOC Manager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Configurar alertas MTTD en SIEM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15 mar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Dashboard MTTD activo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Security Awareness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Lanzar programa simulación phishing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 feb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Primera simulación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Gobernanza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Establecer comité de métricas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15 feb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Reunión 1ª sesión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CFO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Liberar presupuesto Q1 (€10k)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31 ene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Fondos comprometidos</w:t>
            </w:r>
          </w:p>
        </w:tc>
      </w:tr>
    </w:tbl>
    <w:p/>
    <w:p>
      <w:pPr>
        <w:pStyle w:val="Heading3"/>
        <w:keepNext/>
        <w:keepLines/>
      </w:pPr>
      <w:r>
        <w:t>Próxima reunión de seguimiento</w:t>
      </w:r>
    </w:p>
    <w:p>
      <w:pPr>
        <w:pStyle w:val="ListBullet"/>
        <w:keepLines w:val="1"/>
        <w:keepNext w:val="1"/>
        <w:widowControl w:val="1"/>
      </w:pPr>
      <w:r>
        <w:t>Fecha: 28 Febrero 2026</w:t>
      </w:r>
    </w:p>
    <w:p>
      <w:pPr>
        <w:pStyle w:val="ListBullet"/>
        <w:keepLines w:val="1"/>
        <w:widowControl w:val="1"/>
      </w:pPr>
      <w:r>
        <w:t>Agenda: Validación de progreso Q1; ajustes roadmap si es necesario</w:t>
      </w:r>
    </w:p>
    <w:p>
      <w:pPr>
        <w:pStyle w:val="Heading2"/>
        <w:keepNext/>
        <w:keepLines/>
      </w:pPr>
      <w:r>
        <w:rPr>
          <w:color w:val="0066CC"/>
        </w:rPr>
        <w:t>SLIDE 14 — CIERRE Y CONTACTO</w:t>
      </w:r>
    </w:p>
    <w:p>
      <w:pPr>
        <w:pStyle w:val="Heading3"/>
        <w:keepNext/>
        <w:keepLines/>
      </w:pPr>
      <w:r>
        <w:t>Título</w:t>
      </w:r>
    </w:p>
    <w:p>
      <w:r>
        <w:t>Preguntas y Discusión</w:t>
      </w:r>
    </w:p>
    <w:p>
      <w:pPr>
        <w:pStyle w:val="Heading3"/>
        <w:keepNext/>
        <w:keepLines/>
      </w:pPr>
      <w:r>
        <w:t>Contenido</w:t>
      </w:r>
    </w:p>
    <w:p>
      <w:r>
        <w:rPr>
          <w:b/>
        </w:rPr>
        <w:t>Resumen ejecutivo 1-slide</w:t>
      </w:r>
      <w:r>
        <w:t xml:space="preserve"> (recapitulación visual):</w:t>
      </w:r>
    </w:p>
    <w:p>
      <w:pPr>
        <w:pStyle w:val="ListBullet"/>
        <w:keepLines w:val="1"/>
        <w:keepNext w:val="1"/>
        <w:widowControl w:val="1"/>
      </w:pPr>
      <w:r>
        <w:t>IGM Actual: 63/100 | Meta 2026: 80/100</w:t>
      </w:r>
    </w:p>
    <w:p>
      <w:pPr>
        <w:pStyle w:val="ListBullet"/>
        <w:keepLines w:val="1"/>
        <w:keepNext w:val="1"/>
        <w:widowControl w:val="1"/>
      </w:pPr>
      <w:r>
        <w:t>Regulación: NIS2, CRA, GDPR, ENS, DORA (España 2026)</w:t>
      </w:r>
    </w:p>
    <w:p>
      <w:pPr>
        <w:pStyle w:val="ListBullet"/>
        <w:keepLines w:val="1"/>
        <w:keepNext w:val="1"/>
        <w:widowControl w:val="1"/>
      </w:pPr>
      <w:r>
        <w:t>ROI: 40% en 3 años; payback 2.1 años</w:t>
      </w:r>
    </w:p>
    <w:p>
      <w:pPr>
        <w:pStyle w:val="ListBullet"/>
        <w:keepLines w:val="1"/>
        <w:keepNext w:val="1"/>
        <w:widowControl w:val="1"/>
      </w:pPr>
      <w:r>
        <w:t>Roadmap: Q1 Quick Wins (€10k) → Q2-Q4 Consolidation/Expansion (€300k adicional)</w:t>
      </w:r>
    </w:p>
    <w:p>
      <w:pPr>
        <w:pStyle w:val="ListBullet"/>
        <w:keepLines w:val="1"/>
        <w:widowControl w:val="1"/>
      </w:pPr>
      <w:r>
        <w:t>Próximo checkpoint: 28 Feb 2026</w:t>
      </w:r>
    </w:p>
    <w:p>
      <w:r>
        <w:rPr>
          <w:b/>
        </w:rPr>
        <w:t>Contacto</w:t>
      </w:r>
      <w:r>
        <w:t>:</w:t>
      </w:r>
      <w:r/>
      <w:r>
        <w:br/>
        <w:t>- CISO: [Nombre] | ciso@org.com</w:t>
      </w:r>
      <w:r/>
      <w:r>
        <w:br/>
        <w:t>- Measurement Lead: [Nombre] | measurement@org.com</w:t>
      </w:r>
    </w:p>
    <w:p>
      <w:r>
        <w:rPr>
          <w:b/>
        </w:rPr>
        <w:t>Documentación adjunta</w:t>
      </w:r>
      <w:r>
        <w:t>:</w:t>
      </w:r>
      <w:r/>
      <w:r>
        <w:br/>
        <w:t>- Marco integrativo GQM+PRAGMATIC.pdf</w:t>
      </w:r>
      <w:r/>
      <w:r>
        <w:br/>
        <w:t>- Matriz de evaluación PRAGMATIC.xlsx</w:t>
      </w:r>
      <w:r/>
      <w:r>
        <w:br/>
        <w:t>- Excel de cálculo IGM/ROI (en construcción)</w:t>
      </w:r>
    </w:p>
    <w:p>
      <w:pPr>
        <w:pStyle w:val="Heading2"/>
        <w:keepNext/>
        <w:keepLines/>
      </w:pPr>
      <w:r>
        <w:rPr>
          <w:color w:val="0066CC"/>
        </w:rPr>
        <w:t>NOTAS ADICIONALES PARA EL PONENTE</w:t>
      </w:r>
    </w:p>
    <w:p>
      <w:pPr>
        <w:pStyle w:val="Heading3"/>
        <w:keepNext/>
        <w:keepLines/>
      </w:pPr>
      <w:r>
        <w:t>Timing recomendado</w:t>
      </w:r>
    </w:p>
    <w:p>
      <w:pPr>
        <w:pStyle w:val="ListBullet"/>
        <w:keepLines w:val="1"/>
        <w:keepNext w:val="1"/>
        <w:widowControl w:val="1"/>
      </w:pPr>
      <w:r>
        <w:t>Slide 1-2: 2 min (contexto)</w:t>
      </w:r>
    </w:p>
    <w:p>
      <w:pPr>
        <w:pStyle w:val="ListBullet"/>
        <w:keepLines w:val="1"/>
        <w:keepNext w:val="1"/>
        <w:widowControl w:val="1"/>
      </w:pPr>
      <w:r>
        <w:t>Slide 3: 5 min (normativa + urgencia)</w:t>
      </w:r>
    </w:p>
    <w:p>
      <w:pPr>
        <w:pStyle w:val="ListBullet"/>
        <w:keepLines w:val="1"/>
        <w:keepNext w:val="1"/>
        <w:widowControl w:val="1"/>
      </w:pPr>
      <w:r>
        <w:t>Slide 4-5: 5 min (marco técnico)</w:t>
      </w:r>
    </w:p>
    <w:p>
      <w:pPr>
        <w:pStyle w:val="ListBullet"/>
        <w:keepLines w:val="1"/>
        <w:keepNext w:val="1"/>
        <w:widowControl w:val="1"/>
      </w:pPr>
      <w:r>
        <w:t>Slide 6-7: 3 min (dónde estamos)</w:t>
      </w:r>
    </w:p>
    <w:p>
      <w:pPr>
        <w:pStyle w:val="ListBullet"/>
        <w:keepLines w:val="1"/>
        <w:keepNext w:val="1"/>
        <w:widowControl w:val="1"/>
      </w:pPr>
      <w:r>
        <w:t>Slide 8-9: 5 min (riesgos)</w:t>
      </w:r>
    </w:p>
    <w:p>
      <w:pPr>
        <w:pStyle w:val="ListBullet"/>
        <w:keepLines w:val="1"/>
        <w:keepNext w:val="1"/>
        <w:widowControl w:val="1"/>
      </w:pPr>
      <w:r>
        <w:t>Slide 10: 8 min (caso de negocio ROI)</w:t>
      </w:r>
    </w:p>
    <w:p>
      <w:pPr>
        <w:pStyle w:val="ListBullet"/>
        <w:keepLines w:val="1"/>
        <w:keepNext w:val="1"/>
        <w:widowControl w:val="1"/>
      </w:pPr>
      <w:r>
        <w:t>Slide 11-13: 7 min (roadmap, acciones)</w:t>
      </w:r>
    </w:p>
    <w:p>
      <w:pPr>
        <w:pStyle w:val="ListBullet"/>
        <w:keepLines w:val="1"/>
        <w:keepNext w:val="1"/>
        <w:widowControl w:val="1"/>
      </w:pPr>
      <w:r>
        <w:t>Slide 14: 3 min (cierre)</w:t>
      </w:r>
    </w:p>
    <w:p>
      <w:pPr>
        <w:pStyle w:val="ListBullet"/>
        <w:keepLines w:val="1"/>
        <w:widowControl w:val="1"/>
      </w:pPr>
      <w:r>
        <w:t>Q&amp;A: 10 min</w:t>
      </w:r>
    </w:p>
    <w:p>
      <w:r>
        <w:rPr>
          <w:b/>
        </w:rPr>
        <w:t>Total</w:t>
      </w:r>
      <w:r>
        <w:t>: 45-50 minutos</w:t>
      </w:r>
    </w:p>
    <w:p>
      <w:pPr>
        <w:pStyle w:val="Heading3"/>
        <w:keepNext/>
        <w:keepLines/>
      </w:pPr>
      <w:r>
        <w:t>Anticipar preguntas</w:t>
      </w:r>
    </w:p>
    <w:p>
      <w:r>
        <w:rPr>
          <w:b/>
        </w:rPr>
        <w:t>P: "¿Por qué necesitamos esto si ya tenemos firewall y antivirus?"</w:t>
      </w:r>
      <w:r/>
      <w:r>
        <w:br/>
        <w:t>A: "Firewall y antivirus son controles externos. NIS2/CRA exigen demostrar seguridad desde diseño, en desarrollo y operaciones. Las métricas nos permiten evidenciar todo el ciclo de vida."</w:t>
      </w:r>
    </w:p>
    <w:p>
      <w:r>
        <w:rPr>
          <w:b/>
        </w:rPr>
        <w:t>P: "¿No es demasiado costoso (€310k en 3 años)?"</w:t>
      </w:r>
      <w:r/>
      <w:r>
        <w:br/>
        <w:t>A: "Costo de un incidente medio (breach de datos, indisponibilidad 1 hora): €500k+. Una sola prevención recupera la inversión."</w:t>
      </w:r>
    </w:p>
    <w:p>
      <w:r>
        <w:rPr>
          <w:b/>
        </w:rPr>
        <w:t>P: "¿Cuándo vemos ROI?"</w:t>
      </w:r>
      <w:r/>
      <w:r>
        <w:br/>
        <w:t>A: "Payback es 2.1 años. Pero beneficios cualitativos (compliance, reducción riesgo reputacional) son inmediatos."</w:t>
      </w:r>
    </w:p>
    <w:p>
      <w:pPr>
        <w:pStyle w:val="Heading3"/>
        <w:keepNext/>
        <w:keepLines/>
      </w:pPr>
      <w:r>
        <w:t>Apoyos visuales recomendados</w:t>
      </w:r>
    </w:p>
    <w:p>
      <w:pPr>
        <w:pStyle w:val="ListBullet"/>
        <w:keepLines w:val="1"/>
        <w:keepNext w:val="1"/>
        <w:widowControl w:val="1"/>
      </w:pPr>
      <w:r>
        <w:t>Video de 2 min (case study de incidente externo evitable con mejor MTTD)</w:t>
      </w:r>
    </w:p>
    <w:p>
      <w:pPr>
        <w:pStyle w:val="ListBullet"/>
        <w:keepLines w:val="1"/>
        <w:keepNext w:val="1"/>
        <w:widowControl w:val="1"/>
      </w:pPr>
      <w:r>
        <w:t>Demo del dashboard IGM en vivo (si es posible)</w:t>
      </w:r>
    </w:p>
    <w:p>
      <w:pPr>
        <w:pStyle w:val="ListBullet"/>
        <w:keepLines w:val="1"/>
        <w:widowControl w:val="1"/>
      </w:pPr>
      <w:r>
        <w:t>Comparativa con benchmarks de industria (si tienes datos)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