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SQUARE</w:t>
      </w:r>
    </w:p>
    <w:p>
      <w:pPr>
        <w:pStyle w:val="Heading2"/>
        <w:keepNext/>
        <w:keepLines/>
      </w:pPr>
      <w:r>
        <w:rPr>
          <w:color w:val="0066CC"/>
        </w:rPr>
        <w:t>Uso, interpretación y cálculo de indicadores</w:t>
      </w:r>
    </w:p>
    <w:p>
      <w:r>
        <w:t>Esta guía acompaña al modelo de encuesta SQUARE.</w:t>
      </w:r>
      <w:r/>
      <w:r>
        <w:br/>
        <w:t>Su objetivo es que los números digan algo sensato y no solo adornen diapositivas.</w:t>
      </w:r>
    </w:p>
    <w:p>
      <w:pPr>
        <w:pStyle w:val="Heading2"/>
        <w:keepNext/>
        <w:keepLines/>
      </w:pPr>
      <w:r>
        <w:rPr>
          <w:color w:val="0066CC"/>
        </w:rPr>
        <w:t>1. Propósito de la encuesta</w:t>
      </w:r>
    </w:p>
    <w:p>
      <w:r>
        <w:t>La encuesta SQUARE tiene tres propósitos principales:</w:t>
      </w:r>
    </w:p>
    <w:p>
      <w:pPr>
        <w:pStyle w:val="ListNumber"/>
        <w:keepLines w:val="1"/>
        <w:keepNext w:val="1"/>
        <w:widowControl w:val="1"/>
      </w:pPr>
      <w:r>
        <w:t xml:space="preserve">Medir el grado de madurez en la ingeniería de requisitos de seguridad (inspirada en SQUARE) de organizaciones españolas, especialmente en sectores cubiertos por NIS2, ENS y normativa sectorial.  </w:t>
      </w:r>
    </w:p>
    <w:p>
      <w:pPr>
        <w:pStyle w:val="ListNumber"/>
        <w:keepLines w:val="1"/>
        <w:keepNext w:val="1"/>
        <w:widowControl w:val="1"/>
      </w:pPr>
      <w:r>
        <w:t xml:space="preserve">Generar indicadores comparables que permitan un análisis territorial (España frente a sí misma en el tiempo y frente a otros países o marcos de referencia).  </w:t>
      </w:r>
    </w:p>
    <w:p>
      <w:pPr>
        <w:pStyle w:val="ListNumber"/>
        <w:keepLines w:val="1"/>
        <w:widowControl w:val="1"/>
      </w:pPr>
      <w:r>
        <w:t>Servir de espejo amable pero implacable para responsables de seguridad, tecnología y negocio, resaltando el valor estratégico de los requisitos de seguridad bien trabajados.</w:t>
      </w:r>
    </w:p>
    <w:p>
      <w:r>
        <w:t>No pretende sustituir auditorías ni certificaciones, sino complementarlas con una mirada de ingeniería y calidad, enfocada en el proceso de definición y gestión de requisitos.</w:t>
      </w:r>
    </w:p>
    <w:p>
      <w:pPr>
        <w:pStyle w:val="Heading2"/>
        <w:keepNext/>
        <w:keepLines/>
      </w:pPr>
      <w:r>
        <w:rPr>
          <w:color w:val="0066CC"/>
        </w:rPr>
        <w:t>2. Población objetivo y roles</w:t>
      </w:r>
    </w:p>
    <w:p>
      <w:r>
        <w:t>La encuesta está dirigida a organizaciones que:</w:t>
      </w:r>
      <w:r/>
      <w:r>
        <w:br/>
        <w:t>- Operan servicios esenciales o importantes según NIS2.</w:t>
      </w:r>
      <w:r/>
      <w:r>
        <w:br/>
        <w:t>- Forman parte de la Administración pública (AGE, CCAA, EELL) o sus proveedores IT/OT.</w:t>
      </w:r>
      <w:r/>
      <w:r>
        <w:br/>
        <w:t>- Son organizaciones privadas con alta dependencia digital y voluntad de no estrellarse.</w:t>
      </w:r>
    </w:p>
    <w:p>
      <w:r>
        <w:t>El rol ideal de respuesta combina:</w:t>
      </w:r>
      <w:r/>
      <w:r>
        <w:br/>
        <w:t>- Conocimiento de la gestión de riesgos y seguridad (CISO o equivalente).</w:t>
      </w:r>
      <w:r/>
      <w:r>
        <w:br/>
        <w:t>- Visibilidad sobre la ingeniería de sistemas y proyectos críticos.</w:t>
      </w:r>
      <w:r/>
      <w:r>
        <w:br/>
        <w:t>- Capacidad de influir en procesos y decisiones.</w:t>
      </w:r>
    </w:p>
    <w:p>
      <w:r>
        <w:t>Cuando sea posible, se recomienda que la encuesta se complete de forma colegiada (por ejemplo, una sesión conjunta de CISO, CIO, responsable de desarrollo y continuidad de negocio), para evitar respuestas “unipersonales” excesivamente optimistas o pesimistas.</w:t>
      </w:r>
    </w:p>
    <w:p>
      <w:pPr>
        <w:pStyle w:val="Heading2"/>
        <w:keepNext/>
        <w:keepLines/>
      </w:pPr>
      <w:r>
        <w:rPr>
          <w:color w:val="0066CC"/>
        </w:rPr>
        <w:t>3. Estructura de la encuesta y lógica SQUARE</w:t>
      </w:r>
    </w:p>
    <w:p>
      <w:r>
        <w:t>La encuesta sigue, en espíritu, los nueve pasos de SQUARE, si bien agrupados en bloques:</w:t>
      </w:r>
    </w:p>
    <w:p>
      <w:pPr>
        <w:pStyle w:val="ListNumber"/>
        <w:keepLines w:val="1"/>
        <w:keepNext w:val="1"/>
        <w:widowControl w:val="1"/>
      </w:pPr>
      <w:r>
        <w:t xml:space="preserve">Gobernanza y proceso SQUARE‑like (P1.x)  </w:t>
      </w:r>
    </w:p>
    <w:p>
      <w:pPr>
        <w:pStyle w:val="ListNumber"/>
        <w:keepLines w:val="1"/>
        <w:keepNext w:val="1"/>
        <w:widowControl w:val="1"/>
      </w:pPr>
      <w:r>
        <w:t xml:space="preserve">Identificación de activos y riesgos (P2.x)  </w:t>
      </w:r>
    </w:p>
    <w:p>
      <w:pPr>
        <w:pStyle w:val="ListNumber"/>
        <w:keepLines w:val="1"/>
        <w:keepNext w:val="1"/>
        <w:widowControl w:val="1"/>
      </w:pPr>
      <w:r>
        <w:t xml:space="preserve">Cobertura y calidad de requisitos (P3.x)  </w:t>
      </w:r>
    </w:p>
    <w:p>
      <w:pPr>
        <w:pStyle w:val="ListNumber"/>
        <w:keepLines w:val="1"/>
        <w:keepNext w:val="1"/>
        <w:widowControl w:val="1"/>
      </w:pPr>
      <w:r>
        <w:t xml:space="preserve">Métricas e indicadores (P4.x)  </w:t>
      </w:r>
    </w:p>
    <w:p>
      <w:pPr>
        <w:pStyle w:val="ListNumber"/>
        <w:keepLines w:val="1"/>
        <w:keepNext w:val="1"/>
        <w:widowControl w:val="1"/>
      </w:pPr>
      <w:r>
        <w:t xml:space="preserve">Cumplimiento normativo y alineamiento (P5.x)  </w:t>
      </w:r>
    </w:p>
    <w:p>
      <w:pPr>
        <w:pStyle w:val="ListNumber"/>
        <w:keepLines w:val="1"/>
        <w:keepNext w:val="1"/>
        <w:widowControl w:val="1"/>
      </w:pPr>
      <w:r>
        <w:t xml:space="preserve">Continuidad y resiliencia (P6.x)  </w:t>
      </w:r>
    </w:p>
    <w:p>
      <w:pPr>
        <w:pStyle w:val="ListNumber"/>
        <w:keepLines w:val="1"/>
        <w:keepNext w:val="1"/>
        <w:widowControl w:val="1"/>
      </w:pPr>
      <w:r>
        <w:t xml:space="preserve">Tecnología y capacidades (P7.x)  </w:t>
      </w:r>
    </w:p>
    <w:p>
      <w:pPr>
        <w:pStyle w:val="ListNumber"/>
        <w:keepLines w:val="1"/>
        <w:keepNext w:val="1"/>
        <w:widowControl w:val="1"/>
      </w:pPr>
      <w:r>
        <w:t xml:space="preserve">Perspectiva económica: IGM y ROI (P8.x)  </w:t>
      </w:r>
    </w:p>
    <w:p>
      <w:pPr>
        <w:pStyle w:val="ListNumber"/>
        <w:keepLines w:val="1"/>
        <w:widowControl w:val="1"/>
      </w:pPr>
      <w:r>
        <w:t>Cultura y autocrítica (P9.x)</w:t>
      </w:r>
    </w:p>
    <w:p>
      <w:r>
        <w:t>Cada bloque permite inferir indicadores de madurez que, combinados, dan lugar a un Índice Global de Madurez (IGM) y a una lectura cualitativa sobre el retorno de invertir en requisitos de seguridad.</w:t>
      </w:r>
    </w:p>
    <w:p>
      <w:pPr>
        <w:pStyle w:val="Heading2"/>
        <w:keepNext/>
        <w:keepLines/>
      </w:pPr>
      <w:r>
        <w:rPr>
          <w:color w:val="0066CC"/>
        </w:rPr>
        <w:t>4. Escalas de respuesta y principios de codificación</w:t>
      </w:r>
    </w:p>
    <w:p>
      <w:r>
        <w:t>Las respuestas cerradas (tipo lista) se codificarán en valores numéricos para facilitar el análisis. Se recomienda:</w:t>
      </w:r>
    </w:p>
    <w:p>
      <w:pPr>
        <w:pStyle w:val="ListBullet"/>
        <w:keepLines w:val="1"/>
        <w:keepNext w:val="1"/>
        <w:widowControl w:val="1"/>
      </w:pPr>
      <w:r>
        <w:t xml:space="preserve">Utilizar una escala de 0 a 4 (o 0 a 5 según el caso) donde 0 represente la ausencia de práctica y 4 el estado “ideal” razonable.  </w:t>
      </w:r>
    </w:p>
    <w:p>
      <w:pPr>
        <w:pStyle w:val="ListBullet"/>
        <w:keepLines w:val="1"/>
        <w:widowControl w:val="1"/>
      </w:pPr>
      <w:r>
        <w:t>Ser coherente en la dirección: valores altos deben representar mayor madurez o alineamiento.</w:t>
      </w:r>
    </w:p>
    <w:p>
      <w:r>
        <w:t>Ejemplo de codificación para P3.1 (cobertura de requisitos):</w:t>
      </w:r>
      <w:r/>
      <w:r>
        <w:br/>
        <w:t>- &gt; 90 % → 4</w:t>
      </w:r>
      <w:r/>
      <w:r>
        <w:br/>
        <w:t>- 70–90 % → 3</w:t>
      </w:r>
      <w:r/>
      <w:r>
        <w:br/>
        <w:t>- 40–69 % → 2</w:t>
      </w:r>
      <w:r/>
      <w:r>
        <w:br/>
        <w:t>- 10–39 % → 1</w:t>
      </w:r>
      <w:r/>
      <w:r>
        <w:br/>
        <w:t>- &lt; 10 % → 0</w:t>
      </w:r>
      <w:r/>
      <w:r>
        <w:br/>
        <w:t>- No se sabe → nulo (se excluye del cálculo de media y se reporta como “dato desconocido”).</w:t>
      </w:r>
    </w:p>
    <w:p>
      <w:r>
        <w:t>Los campos de texto libre (como P9.4) se pueden analizar cualitativamente (temas recurrentes, preocupaciones, etc.) sin traducirlos a métricas rígidas, salvo proyectos concretos que deseen desarrollar indicadores de cultura o percepción.</w:t>
      </w:r>
    </w:p>
    <w:p>
      <w:pPr>
        <w:pStyle w:val="Heading2"/>
        <w:keepNext/>
        <w:keepLines/>
      </w:pPr>
      <w:r>
        <w:rPr>
          <w:color w:val="0066CC"/>
        </w:rPr>
        <w:t>5. Cálculo del Índice Global de Madurez (IGM)</w:t>
      </w:r>
    </w:p>
    <w:p>
      <w:r>
        <w:t>El IGM pretende sintetizar, en un único número entre 0 y 100, el estado de madurez de la organización en materia de requisitos de seguridad según el espíritu SQUARE.</w:t>
      </w:r>
    </w:p>
    <w:p>
      <w:pPr>
        <w:pStyle w:val="Heading3"/>
        <w:keepNext/>
        <w:keepLines/>
      </w:pPr>
      <w:r>
        <w:t>5.1. Dimensiones principales</w:t>
      </w:r>
    </w:p>
    <w:p>
      <w:r>
        <w:t>Se proponen cinco dimensiones:</w:t>
      </w:r>
    </w:p>
    <w:p>
      <w:pPr>
        <w:pStyle w:val="ListNumber"/>
        <w:keepLines w:val="1"/>
        <w:keepNext w:val="1"/>
        <w:widowControl w:val="1"/>
      </w:pPr>
      <w:r>
        <w:t xml:space="preserve">Gobernanza del proceso de requisitos (GOV) – derivada de P1.x, P5.x.  </w:t>
      </w:r>
    </w:p>
    <w:p>
      <w:pPr>
        <w:pStyle w:val="ListNumber"/>
        <w:keepLines w:val="1"/>
        <w:keepNext w:val="1"/>
        <w:widowControl w:val="1"/>
      </w:pPr>
      <w:r>
        <w:t xml:space="preserve">Riesgos, activos y trazabilidad (RISK) – derivada de P2.x, P6.x.  </w:t>
      </w:r>
    </w:p>
    <w:p>
      <w:pPr>
        <w:pStyle w:val="ListNumber"/>
        <w:keepLines w:val="1"/>
        <w:keepNext w:val="1"/>
        <w:widowControl w:val="1"/>
      </w:pPr>
      <w:r>
        <w:t xml:space="preserve">Cobertura y calidad de requisitos (REQ) – derivada de P3.x.  </w:t>
      </w:r>
    </w:p>
    <w:p>
      <w:pPr>
        <w:pStyle w:val="ListNumber"/>
        <w:keepLines w:val="1"/>
        <w:keepNext w:val="1"/>
        <w:widowControl w:val="1"/>
      </w:pPr>
      <w:r>
        <w:t xml:space="preserve">Métricas y mejora continua (MET) – derivada de P4.x, P8.x.  </w:t>
      </w:r>
    </w:p>
    <w:p>
      <w:pPr>
        <w:pStyle w:val="ListNumber"/>
        <w:keepLines w:val="1"/>
        <w:widowControl w:val="1"/>
      </w:pPr>
      <w:r>
        <w:t>Capacidades y cultura (CAP) – derivada de P7.x, P9.x.</w:t>
      </w:r>
    </w:p>
    <w:p>
      <w:r>
        <w:t>Cada dimensión se calcula como media ponderada de las preguntas asociadas, tras codificación numérica. Las ponderaciones se pueden ajustar según el sector; por defecto, se sugiere peso igual para cada pregunta dentro de una dimensión.</w:t>
      </w:r>
    </w:p>
    <w:p>
      <w:pPr>
        <w:pStyle w:val="Heading3"/>
        <w:keepNext/>
        <w:keepLines/>
      </w:pPr>
      <w:r>
        <w:t>5.2. Escalado</w:t>
      </w:r>
    </w:p>
    <w:p>
      <w:r>
        <w:t>Cada dimensión se transforma a escala 0–100:</w:t>
      </w:r>
    </w:p>
    <w:p>
      <w:r>
        <w:t>[</w:t>
      </w:r>
      <w:r/>
      <w:r>
        <w:br/>
        <w:t>\text{DIM_score} = \frac{\text{media codificada}}{\text{valor_máximo_posible}} \times 100</w:t>
      </w:r>
      <w:r/>
      <w:r>
        <w:br/>
        <w:t>]</w:t>
      </w:r>
    </w:p>
    <w:p>
      <w:r>
        <w:t>Por ejemplo, si GOV se calcula a partir de cinco preguntas codificadas de 0 a 4 y la media obtenida es 2,8:</w:t>
      </w:r>
    </w:p>
    <w:p>
      <w:r>
        <w:t>[</w:t>
      </w:r>
      <w:r/>
      <w:r>
        <w:br/>
        <w:t>\text{GOV} = \frac{2{,}8}{4} \times 100 = 70</w:t>
      </w:r>
      <w:r/>
      <w:r>
        <w:br/>
        <w:t>]</w:t>
      </w:r>
    </w:p>
    <w:p>
      <w:pPr>
        <w:pStyle w:val="Heading3"/>
        <w:keepNext/>
        <w:keepLines/>
      </w:pPr>
      <w:r>
        <w:t>5.3. Composición del IGM</w:t>
      </w:r>
    </w:p>
    <w:p>
      <w:r>
        <w:t>El IGM se obtiene como media ponderada de las dimensiones:</w:t>
      </w:r>
    </w:p>
    <w:p>
      <w:r>
        <w:t>[</w:t>
      </w:r>
      <w:r/>
      <w:r>
        <w:br/>
        <w:t>\text{IGM} = w_{GOV} \cdot GOV + w_{RISK} \cdot RISK + w_{REQ} \cdot REQ + w_{MET} \cdot MET + w_{CAP} \cdot CAP</w:t>
      </w:r>
      <w:r/>
      <w:r>
        <w:br/>
        <w:t>]</w:t>
      </w:r>
    </w:p>
    <w:p>
      <w:r>
        <w:t>Con pesos por defecto:</w:t>
      </w:r>
    </w:p>
    <w:p>
      <w:pPr>
        <w:pStyle w:val="ListBullet"/>
        <w:keepLines w:val="1"/>
        <w:keepNext w:val="1"/>
        <w:widowControl w:val="1"/>
      </w:pPr>
      <w:r>
        <w:t xml:space="preserve">( w_{GOV} = 0{,}2 )  </w:t>
      </w:r>
    </w:p>
    <w:p>
      <w:pPr>
        <w:pStyle w:val="ListBullet"/>
        <w:keepLines w:val="1"/>
        <w:keepNext w:val="1"/>
        <w:widowControl w:val="1"/>
      </w:pPr>
      <w:r>
        <w:t xml:space="preserve">( w_{RISK} = 0{,}25 )  </w:t>
      </w:r>
    </w:p>
    <w:p>
      <w:pPr>
        <w:pStyle w:val="ListBullet"/>
        <w:keepLines w:val="1"/>
        <w:keepNext w:val="1"/>
        <w:widowControl w:val="1"/>
      </w:pPr>
      <w:r>
        <w:t xml:space="preserve">( w_{REQ} = 0{,}25 )  </w:t>
      </w:r>
    </w:p>
    <w:p>
      <w:pPr>
        <w:pStyle w:val="ListBullet"/>
        <w:keepLines w:val="1"/>
        <w:keepNext w:val="1"/>
        <w:widowControl w:val="1"/>
      </w:pPr>
      <w:r>
        <w:t xml:space="preserve">( w_{MET} = 0{,}15 )  </w:t>
      </w:r>
    </w:p>
    <w:p>
      <w:pPr>
        <w:pStyle w:val="ListBullet"/>
        <w:keepLines w:val="1"/>
        <w:widowControl w:val="1"/>
      </w:pPr>
      <w:r>
        <w:t>( w_{CAP} = 0{,}15 )</w:t>
      </w:r>
    </w:p>
    <w:p>
      <w:r>
        <w:t>Estos pesos reflejan una ligera preferencia por la existencia de una base sólida de riesgos y requisitos, sin menospreciar la gobernanza ni las capacidades.</w:t>
      </w:r>
    </w:p>
    <w:p>
      <w:r>
        <w:t>El resultado se redondea a un decimal y se puede clasificar en niveles:</w:t>
      </w:r>
    </w:p>
    <w:p>
      <w:pPr>
        <w:pStyle w:val="ListBullet"/>
        <w:keepLines w:val="1"/>
        <w:keepNext w:val="1"/>
        <w:widowControl w:val="1"/>
      </w:pPr>
      <w:r>
        <w:t xml:space="preserve">0–19: Madurez muy baja (procesos incipientes o inexistentes)  </w:t>
      </w:r>
    </w:p>
    <w:p>
      <w:pPr>
        <w:pStyle w:val="ListBullet"/>
        <w:keepLines w:val="1"/>
        <w:keepNext w:val="1"/>
        <w:widowControl w:val="1"/>
      </w:pPr>
      <w:r>
        <w:t xml:space="preserve">20–39: Madurez baja (prácticas aisladas, sin sistematización)  </w:t>
      </w:r>
    </w:p>
    <w:p>
      <w:pPr>
        <w:pStyle w:val="ListBullet"/>
        <w:keepLines w:val="1"/>
        <w:keepNext w:val="1"/>
        <w:widowControl w:val="1"/>
      </w:pPr>
      <w:r>
        <w:t xml:space="preserve">40–59: Madurez media (bases razonables, pero inconsistentes)  </w:t>
      </w:r>
    </w:p>
    <w:p>
      <w:pPr>
        <w:pStyle w:val="ListBullet"/>
        <w:keepLines w:val="1"/>
        <w:keepNext w:val="1"/>
        <w:widowControl w:val="1"/>
      </w:pPr>
      <w:r>
        <w:t xml:space="preserve">60–79: Madurez alta (proceso sólido con áreas de mejora)  </w:t>
      </w:r>
    </w:p>
    <w:p>
      <w:pPr>
        <w:pStyle w:val="ListBullet"/>
        <w:keepLines w:val="1"/>
        <w:widowControl w:val="1"/>
      </w:pPr>
      <w:r>
        <w:t>80–100: Madurez muy alta (referente en su sector, con capacidad de mentorear a otros)</w:t>
      </w:r>
    </w:p>
    <w:p>
      <w:pPr>
        <w:pStyle w:val="Heading2"/>
        <w:keepNext/>
        <w:keepLines/>
      </w:pPr>
      <w:r>
        <w:rPr>
          <w:color w:val="0066CC"/>
        </w:rPr>
        <w:t>6. Medición del ROI en requisitos de seguridad</w:t>
      </w:r>
    </w:p>
    <w:p>
      <w:r>
        <w:t>Calcular el ROI exacto de la ingeniería de requisitos de seguridad es una empresa audaz. Aun así, conviene estimular el ejercicio intelectual. Una aproximación práctica:</w:t>
      </w:r>
    </w:p>
    <w:p>
      <w:pPr>
        <w:pStyle w:val="Heading3"/>
        <w:keepNext/>
        <w:keepLines/>
      </w:pPr>
      <w:r>
        <w:t>6.1. Costes a considerar</w:t>
      </w:r>
    </w:p>
    <w:p>
      <w:pPr>
        <w:pStyle w:val="ListBullet"/>
        <w:keepLines w:val="1"/>
        <w:keepNext w:val="1"/>
        <w:widowControl w:val="1"/>
      </w:pPr>
      <w:r>
        <w:t xml:space="preserve">Horas dedicadas a la definición, revisión y mantenimiento de requisitos de seguridad (personal interno y externo).  </w:t>
      </w:r>
    </w:p>
    <w:p>
      <w:pPr>
        <w:pStyle w:val="ListBullet"/>
        <w:keepLines w:val="1"/>
        <w:keepNext w:val="1"/>
        <w:widowControl w:val="1"/>
      </w:pPr>
      <w:r>
        <w:t xml:space="preserve">Costes de herramientas específicas (ALM, gestión de requisitos, etc.) imputables a este uso.  </w:t>
      </w:r>
    </w:p>
    <w:p>
      <w:pPr>
        <w:pStyle w:val="ListBullet"/>
        <w:keepLines w:val="1"/>
        <w:widowControl w:val="1"/>
      </w:pPr>
      <w:r>
        <w:t>Costes de formación en metodologías de requisitos de seguridad.</w:t>
      </w:r>
    </w:p>
    <w:p>
      <w:pPr>
        <w:pStyle w:val="Heading3"/>
        <w:keepNext/>
        <w:keepLines/>
      </w:pPr>
      <w:r>
        <w:t>6.2. Beneficios estimables</w:t>
      </w:r>
    </w:p>
    <w:p>
      <w:pPr>
        <w:pStyle w:val="ListBullet"/>
        <w:keepLines w:val="1"/>
        <w:keepNext w:val="1"/>
        <w:widowControl w:val="1"/>
      </w:pPr>
      <w:r>
        <w:t xml:space="preserve">Incidentes evitados o mitigados (en número y severidad), comparando con períodos previos o escenarios de referencia.  </w:t>
      </w:r>
    </w:p>
    <w:p>
      <w:pPr>
        <w:pStyle w:val="ListBullet"/>
        <w:keepLines w:val="1"/>
        <w:keepNext w:val="1"/>
        <w:widowControl w:val="1"/>
      </w:pPr>
      <w:r>
        <w:t xml:space="preserve">Reducción de retrabajo en fases de desarrollo y pruebas (número de cambios tardíos, defectos de seguridad detectados en producción).  </w:t>
      </w:r>
    </w:p>
    <w:p>
      <w:pPr>
        <w:pStyle w:val="ListBullet"/>
        <w:keepLines w:val="1"/>
        <w:keepNext w:val="1"/>
        <w:widowControl w:val="1"/>
      </w:pPr>
      <w:r>
        <w:t xml:space="preserve">Mejora de tiempos y resultados en auditorías y certificaciones.  </w:t>
      </w:r>
    </w:p>
    <w:p>
      <w:pPr>
        <w:pStyle w:val="ListBullet"/>
        <w:keepLines w:val="1"/>
        <w:widowControl w:val="1"/>
      </w:pPr>
      <w:r>
        <w:t>Mejora de la continuidad de negocio (reducción de tiempos de interrupción, SLAs mejor cumplidos, etc.).</w:t>
      </w:r>
    </w:p>
    <w:p>
      <w:r>
        <w:t>El ROI puede expresarse en términos clásicos:</w:t>
      </w:r>
    </w:p>
    <w:p>
      <w:r>
        <w:t>[</w:t>
      </w:r>
      <w:r/>
      <w:r>
        <w:br/>
        <w:t>\text{ROI} = \frac{\text{Beneficios estimados} - \text{Costes}}{\text{Costes}}</w:t>
      </w:r>
      <w:r/>
      <w:r>
        <w:br/>
        <w:t>]</w:t>
      </w:r>
    </w:p>
    <w:p>
      <w:r>
        <w:t>Lógicamente, buena parte de los beneficios será estimada. Lo importante no es la precisión absoluta, sino la disciplina de cuantificar hipótesis y comprobar tendencias.</w:t>
      </w:r>
    </w:p>
    <w:p>
      <w:pPr>
        <w:pStyle w:val="Heading2"/>
        <w:keepNext/>
        <w:keepLines/>
      </w:pPr>
      <w:r>
        <w:rPr>
          <w:color w:val="0066CC"/>
        </w:rPr>
        <w:t>7. Uso de la encuesta a nivel nacional y sectorial</w:t>
      </w:r>
    </w:p>
    <w:p>
      <w:r>
        <w:t>Aplicada de forma consistente en múltiples organizaciones, la encuesta permite:</w:t>
      </w:r>
    </w:p>
    <w:p>
      <w:pPr>
        <w:pStyle w:val="ListBullet"/>
        <w:keepLines w:val="1"/>
        <w:keepNext w:val="1"/>
        <w:widowControl w:val="1"/>
      </w:pPr>
      <w:r>
        <w:t xml:space="preserve">Estimar la distribución de madurez por sector, tamaño y tipo de organización.  </w:t>
      </w:r>
    </w:p>
    <w:p>
      <w:pPr>
        <w:pStyle w:val="ListBullet"/>
        <w:keepLines w:val="1"/>
        <w:keepNext w:val="1"/>
        <w:widowControl w:val="1"/>
      </w:pPr>
      <w:r>
        <w:t xml:space="preserve">Correlacionar IGM con indicadores de incidentes y vulnerabilidades reportados por organismos como INCIBE o ENISA.  </w:t>
      </w:r>
    </w:p>
    <w:p>
      <w:pPr>
        <w:pStyle w:val="ListBullet"/>
        <w:keepLines w:val="1"/>
        <w:widowControl w:val="1"/>
      </w:pPr>
      <w:r>
        <w:t>Alimentar análisis comparativos internacionales, siempre con prudencia metodológica.</w:t>
      </w:r>
    </w:p>
    <w:p>
      <w:r>
        <w:t>Se sugiere repetir la encuesta de forma anual o bianual, manteniendo el núcleo de preguntas para poder observar tendencias, e introduciendo módulos específicos según necesidades (por ejemplo, algoritmos post‑cuánticos, IA generativa, etc.).</w:t>
      </w:r>
    </w:p>
    <w:p>
      <w:pPr>
        <w:pStyle w:val="Heading2"/>
        <w:keepNext/>
        <w:keepLines/>
      </w:pPr>
      <w:r>
        <w:rPr>
          <w:color w:val="0066CC"/>
        </w:rPr>
        <w:t>8. Lectura crítica y sesgos</w:t>
      </w:r>
    </w:p>
    <w:p>
      <w:r>
        <w:t>Ningún cuestionario se salva de los sesgos:</w:t>
      </w:r>
      <w:r/>
      <w:r>
        <w:br/>
        <w:t>- Sesgo de deseabilidad social (tendencia a responder lo que “debería” ser).</w:t>
      </w:r>
      <w:r/>
      <w:r>
        <w:br/>
        <w:t>- Sesgo de conocimiento (respuestas “no lo sé” encubiertas como “sí, pero…”).</w:t>
      </w:r>
      <w:r/>
      <w:r>
        <w:br/>
        <w:t>- Sesgo de responsabilidad (minimización de problemas en áreas cercanas al rol del respondente).</w:t>
      </w:r>
    </w:p>
    <w:p>
      <w:r>
        <w:t>Por ello, es recomendable:</w:t>
      </w:r>
      <w:r/>
      <w:r>
        <w:br/>
        <w:t>- Acompañar la encuesta con entrevistas cualitativas a una muestra de organizaciones.</w:t>
      </w:r>
      <w:r/>
      <w:r>
        <w:br/>
        <w:t>- Contrastar las respuestas con evidencias objetivas (políticas, informes, métricas de incidentes).</w:t>
      </w:r>
      <w:r/>
      <w:r>
        <w:br/>
        <w:t>- Mantener el anonimato y la confidencialidad en análisis agregados, para favorecer la sinceridad.</w:t>
      </w:r>
    </w:p>
    <w:p>
      <w:pPr>
        <w:pStyle w:val="Heading2"/>
        <w:keepNext/>
        <w:keepLines/>
      </w:pPr>
      <w:r>
        <w:rPr>
          <w:color w:val="0066CC"/>
        </w:rPr>
        <w:t>9. Espíritu de uso</w:t>
      </w:r>
    </w:p>
    <w:p>
      <w:r>
        <w:t>Si tras aplicar esta encuesta descubre que su organización se ubica en el “lejano oeste digital”, no se desespere: está en buena compañía. Lo relevante es disponer de un punto de partida honesto y de una brújula para el progreso.</w:t>
      </w:r>
    </w:p>
    <w:p>
      <w:r>
        <w:t>La metodología SQUARE nos recuerda que la seguridad no se improvisa al final, sino que se negocia, define y escribe al principio. Esta encuesta simplemente se empeña en preguntar si lo estamos haciendo… o seguimos escribiendo la palabra “seguro” con lápiz blando.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