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indicadores SQUARE GQM a objetivos nacionales y normativa</w:t>
      </w:r>
    </w:p>
    <w:p>
      <w:r>
        <w:t>Tabla orientativa que relaciona cada métrica clave con objetivos GQM</w:t>
      </w:r>
      <w:r/>
      <w:r>
        <w:br/>
        <w:t>y referencias normativas (NIS2, ENS, ISO, ENISA, etc.).</w:t>
      </w:r>
    </w:p>
    <w:p>
      <w:pPr>
        <w:pStyle w:val="Heading2"/>
        <w:keepNext/>
        <w:keepLines/>
      </w:pPr>
      <w:r>
        <w:rPr>
          <w:color w:val="0066CC"/>
        </w:rPr>
        <w:t>1. 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Objetivos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nacional / estratégico relacionado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 principales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funciones de negocio críticas con requisitos de seguridad explícitos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Aumentar la madurez de diseño seguro en servicios esenciales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riesgos, medidas técnicas), ENS (análisis de riesgos y seguridad por diseño), ISO 27001 (A.8, A.14), guías ENISA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amenazas de alto impacto con requisitos mitigadores definidos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G1, 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Reducir el riesgo residual en infraestructuras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(evaluación y tratamiento de riesgos), ENS (medidas por categoría), ISO 27005, guías ENISA de análisis de riesgos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de requisitos que cumplen criterios de buena ingeniería (claros, verificables, trazables)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Mejorar la calidad de los requisitos de seguridad y su verificabilidad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SQUARE (calidad de requisitos), ISO/IEC 25010 (calidad del producto), ISO 29148 (ingeniería de requisitos)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de requisitos que superan la revisión sin observaciones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Asegurar consistencia y robustez en especificaciones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SQUARE (revisión), normas de aseguramiento de calidad, buenas prácticas de ingeniería de software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Nº medio de iteraciones de revisión de requisitos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Optimizar el proceso de definición y revisión de requisitos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SQUARE (inspección), modelos de madurez de procesos (CMMI, etc.)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Nº de activos críticos sin requisitos de seguridad asociados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G1, 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Garantizar que todos los activos críticos están cubiertos por medidas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(inventario de activos, gestión de riesgos), ENS (activos y servicios), ISO 27001, guías ENISA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de riesgos de alto impacto con requisitos esenciales asignados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Alinear gestión de riesgos con decisiones de diseño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ENS, ISO 27005, marcos de riesgo sectoriales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de requisitos mapeados a normativa aplicable (NIS2, ENS, etc.)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Asegurar el cumplimiento coherente y trazable de obligaciones regulatorias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ENS, ISO 27001, normativa sectorial (sanidad, energía, financiero)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Frecuencia de revisión de requisitos tras incidentes o cambios significativos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Fomentar la mejora continua y el aprendizaje tras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incidentes, lecciones aprendidas), ENS (revisión continua), ISO 27001 (mejora)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Índice de Gestión de Mandato (IGM) para requisitos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G2, 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Medir el grado de cumplimiento y gobernanza de mandatos internos y regulatorios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ENS, ISO 27001, modelos de gobernanza (COSO, ISO 31000)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Coste anual del proceso de requisitos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Optimizar uso de recursos en seguridad por diseño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Principios de proporcionalidad en NIS2, gestión de riesgos (ISO 31000), buenas prácticas de gestión financiera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Beneficios estimados por incidentes evitados/mitigados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Justificar inversiones en requisitos de seguridad mediante reducción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(mitigación de riesgos), guías ENISA de análisis coste‑beneficio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Beneficios por reducción de retrabajo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Reducir costes de ciclo de vida del software y sistemas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Buenas prácticas de ingeniería de software, DevSecOps, marcos de calidad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Beneficios en auditorías/certificaciones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Mejorar eficiencia en cumplimiento normativo y certificaciones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27001, ENS, auditorías sectoriales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ROI de requisitos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Evaluar la rentabilidad global de invertir en requisitos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Principios generales de gestión financiera y de riesgos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M3.6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Correlación entre IGM e indicadores de resultado (incidentes, sanciones, etc.)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G1, G2, G3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Validar la relación entre madurez de requisitos y desempeño en ciberseguridad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NIS2 (objetivos de reducción de riesgos), evaluaciones ENISA de estrategias nacionales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Uso del mapeo</w:t>
      </w:r>
    </w:p>
    <w:p>
      <w:r>
        <w:t>Este mapeo permite:</w:t>
      </w:r>
    </w:p>
    <w:p>
      <w:pPr>
        <w:pStyle w:val="ListBullet"/>
        <w:keepLines w:val="1"/>
        <w:keepNext w:val="1"/>
        <w:widowControl w:val="1"/>
      </w:pPr>
      <w:r>
        <w:t xml:space="preserve">Conectar cada métrica técnica con objetivos políticos y regulatorios.  </w:t>
      </w:r>
    </w:p>
    <w:p>
      <w:pPr>
        <w:pStyle w:val="ListBullet"/>
        <w:keepLines w:val="1"/>
        <w:keepNext w:val="1"/>
        <w:widowControl w:val="1"/>
      </w:pPr>
      <w:r>
        <w:t xml:space="preserve">Justificar la inclusión de métricas en cuadros de mando nacionales o sectoriales.  </w:t>
      </w:r>
    </w:p>
    <w:p>
      <w:pPr>
        <w:pStyle w:val="ListBullet"/>
        <w:keepLines w:val="1"/>
        <w:widowControl w:val="1"/>
      </w:pPr>
      <w:r>
        <w:t>Identificar vacíos (por ejemplo, objetivos sin métricas directas o métricas sin apoyo normativo claro).</w:t>
      </w:r>
    </w:p>
    <w:p>
      <w:r>
        <w:t>En implementaciones reales, se recomienda:</w:t>
      </w:r>
    </w:p>
    <w:p>
      <w:pPr>
        <w:pStyle w:val="ListBullet"/>
        <w:keepLines w:val="1"/>
        <w:keepNext w:val="1"/>
        <w:widowControl w:val="1"/>
      </w:pPr>
      <w:r>
        <w:t xml:space="preserve">Añadir referencias específicas a normativa sectorial (sanidad, energía, financiero, etc.).  </w:t>
      </w:r>
    </w:p>
    <w:p>
      <w:pPr>
        <w:pStyle w:val="ListBullet"/>
        <w:keepLines w:val="1"/>
        <w:widowControl w:val="1"/>
      </w:pPr>
      <w:r>
        <w:t>Documentar en anexos las secciones exactas de las normas aplicables para facilitar auditorías y revisiones.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