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(extensión GQM + PRAGMATIC)</w:t>
      </w:r>
    </w:p>
    <w:p>
      <w:pPr>
        <w:pStyle w:val="Heading2"/>
        <w:keepNext/>
        <w:keepLines/>
      </w:pPr>
      <w:r>
        <w:rPr>
          <w:color w:val="0066CC"/>
        </w:rPr>
        <w:t>Especificación técnica</w:t>
      </w:r>
    </w:p>
    <w:p>
      <w:pPr>
        <w:pStyle w:val="Heading2"/>
        <w:keepNext/>
        <w:keepLines/>
      </w:pPr>
      <w:r>
        <w:rPr>
          <w:color w:val="0066CC"/>
        </w:rPr>
        <w:t>1. Estructura de hojas</w:t>
      </w:r>
    </w:p>
    <w:p>
      <w:r>
        <w:t>Se recomiendan las siguientes hojas:</w:t>
      </w:r>
    </w:p>
    <w:p>
      <w:pPr>
        <w:pStyle w:val="ListNumber"/>
        <w:keepLines w:val="1"/>
        <w:keepNext w:val="1"/>
        <w:widowControl w:val="1"/>
      </w:pPr>
      <w:r>
        <w:t xml:space="preserve">Respuestas – Datos de la encuesta (preguntas) y codificación básica.  </w:t>
      </w:r>
    </w:p>
    <w:p>
      <w:pPr>
        <w:pStyle w:val="ListNumber"/>
        <w:keepLines w:val="1"/>
        <w:keepNext w:val="1"/>
        <w:widowControl w:val="1"/>
      </w:pPr>
      <w:r>
        <w:t xml:space="preserve">Métricas – Cálculo de métricas M1.x, M2.x, M3.x a partir de respuestas.  </w:t>
      </w:r>
    </w:p>
    <w:p>
      <w:pPr>
        <w:pStyle w:val="ListNumber"/>
        <w:keepLines w:val="1"/>
        <w:keepNext w:val="1"/>
        <w:widowControl w:val="1"/>
      </w:pPr>
      <w:r>
        <w:t xml:space="preserve">PRAGMATIC – Matriz de evaluación PRAGMATIC por métrica (opcionalmente fija).  </w:t>
      </w:r>
    </w:p>
    <w:p>
      <w:pPr>
        <w:pStyle w:val="ListNumber"/>
        <w:keepLines w:val="1"/>
        <w:keepNext w:val="1"/>
        <w:widowControl w:val="1"/>
      </w:pPr>
      <w:r>
        <w:t xml:space="preserve">IGM – Cálculo de dimensiones GOV, RISK, REQ, MET, CAP e IGM global.  </w:t>
      </w:r>
    </w:p>
    <w:p>
      <w:pPr>
        <w:pStyle w:val="ListNumber"/>
        <w:keepLines w:val="1"/>
        <w:keepNext w:val="1"/>
        <w:widowControl w:val="1"/>
      </w:pPr>
      <w:r>
        <w:t xml:space="preserve">ROI – Cálculo de costes, beneficios y ROI de requisitos de seguridad.  </w:t>
      </w:r>
    </w:p>
    <w:p>
      <w:pPr>
        <w:pStyle w:val="ListNumber"/>
        <w:keepLines w:val="1"/>
        <w:widowControl w:val="1"/>
      </w:pPr>
      <w:r>
        <w:t>Parámetros – Pesos de dimensiones, umbrales y constantes.</w:t>
      </w:r>
    </w:p>
    <w:p>
      <w:pPr>
        <w:pStyle w:val="Heading2"/>
        <w:keepNext/>
        <w:keepLines/>
      </w:pPr>
      <w:r>
        <w:rPr>
          <w:color w:val="0066CC"/>
        </w:rPr>
        <w:t>2. Hoja “Respuestas”</w:t>
      </w:r>
    </w:p>
    <w:p>
      <w:r>
        <w:t>Columnas mínimas:</w:t>
      </w:r>
    </w:p>
    <w:p>
      <w:pPr>
        <w:pStyle w:val="ListBullet"/>
        <w:keepLines w:val="1"/>
        <w:keepNext w:val="1"/>
        <w:widowControl w:val="1"/>
      </w:pPr>
      <w:r>
        <w:t xml:space="preserve">Org_ID – Identificador anónimo de organización.  </w:t>
      </w:r>
    </w:p>
    <w:p>
      <w:pPr>
        <w:pStyle w:val="ListBullet"/>
        <w:keepLines w:val="1"/>
        <w:keepNext w:val="1"/>
        <w:widowControl w:val="1"/>
      </w:pPr>
      <w:r>
        <w:t xml:space="preserve">Sector – Categoría (NIS2, AA.PP., etc.).  </w:t>
      </w:r>
    </w:p>
    <w:p>
      <w:pPr>
        <w:pStyle w:val="ListBullet"/>
        <w:keepLines w:val="1"/>
        <w:keepNext w:val="1"/>
        <w:widowControl w:val="1"/>
      </w:pPr>
      <w:r>
        <w:t xml:space="preserve">Tamano – Tamaño.  </w:t>
      </w:r>
    </w:p>
    <w:p>
      <w:pPr>
        <w:pStyle w:val="ListBullet"/>
        <w:keepLines w:val="1"/>
        <w:widowControl w:val="1"/>
      </w:pPr>
      <w:r>
        <w:t xml:space="preserve">Columnas de respuestas a la encuesta: P1_1, P1_2, … P9_3.  </w:t>
      </w:r>
    </w:p>
    <w:p>
      <w:r>
        <w:t>Codificación:</w:t>
      </w:r>
    </w:p>
    <w:p>
      <w:pPr>
        <w:pStyle w:val="ListBullet"/>
        <w:keepLines w:val="1"/>
        <w:keepNext w:val="1"/>
        <w:widowControl w:val="1"/>
      </w:pPr>
      <w:r>
        <w:t xml:space="preserve">Cada celda de pregunta contiene un código numérico de opción (por ejemplo, 1–5).  </w:t>
      </w:r>
    </w:p>
    <w:p>
      <w:pPr>
        <w:pStyle w:val="ListBullet"/>
        <w:keepLines w:val="1"/>
        <w:widowControl w:val="1"/>
      </w:pPr>
      <w:r>
        <w:t>Se pueden utilizar listas desplegables para garantizar consistencia.</w:t>
      </w:r>
    </w:p>
    <w:p>
      <w:pPr>
        <w:pStyle w:val="Heading2"/>
        <w:keepNext/>
        <w:keepLines/>
      </w:pPr>
      <w:r>
        <w:rPr>
          <w:color w:val="0066CC"/>
        </w:rPr>
        <w:t>3. Hoja “Métricas”</w:t>
      </w:r>
    </w:p>
    <w:p>
      <w:pPr>
        <w:pStyle w:val="Heading3"/>
        <w:keepNext/>
        <w:keepLines/>
      </w:pPr>
      <w:r>
        <w:t>3.1. Derivación de métricas M1.x y M2.x</w:t>
      </w:r>
    </w:p>
    <w:p>
      <w:r>
        <w:t>Se crean columnas calculadas por organización:</w:t>
      </w:r>
    </w:p>
    <w:p>
      <w:pPr>
        <w:pStyle w:val="ListBullet"/>
        <w:keepLines w:val="1"/>
        <w:keepNext w:val="1"/>
        <w:widowControl w:val="1"/>
      </w:pPr>
      <w:r>
        <w:t xml:space="preserve">M1_1 Cobertura funciones críticas.  </w:t>
      </w:r>
    </w:p>
    <w:p>
      <w:pPr>
        <w:pStyle w:val="ListBullet"/>
        <w:keepLines w:val="1"/>
        <w:keepNext w:val="1"/>
        <w:widowControl w:val="1"/>
      </w:pPr>
      <w:r>
        <w:t xml:space="preserve">M1_2 Cobertura amenazas alto impacto.  </w:t>
      </w:r>
    </w:p>
    <w:p>
      <w:pPr>
        <w:pStyle w:val="ListBullet"/>
        <w:keepLines w:val="1"/>
        <w:keepNext w:val="1"/>
        <w:widowControl w:val="1"/>
      </w:pPr>
      <w:r>
        <w:t xml:space="preserve">M1_3 % requisitos bien formados.  </w:t>
      </w:r>
    </w:p>
    <w:p>
      <w:pPr>
        <w:pStyle w:val="ListBullet"/>
        <w:keepLines w:val="1"/>
        <w:keepNext w:val="1"/>
        <w:widowControl w:val="1"/>
      </w:pPr>
      <w:r>
        <w:t xml:space="preserve">M1_4 % requisitos sin observaciones.  </w:t>
      </w:r>
    </w:p>
    <w:p>
      <w:pPr>
        <w:pStyle w:val="ListBullet"/>
        <w:keepLines w:val="1"/>
        <w:keepNext w:val="1"/>
        <w:widowControl w:val="1"/>
      </w:pPr>
      <w:r>
        <w:br/>
        <w:t xml:space="preserve">M1_5 Iteraciones de revisión (media).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M2_1 Activos críticos sin requisitos.  </w:t>
        <w:br/>
      </w:r>
    </w:p>
    <w:p>
      <w:pPr>
        <w:pStyle w:val="ListBullet"/>
        <w:keepLines w:val="1"/>
        <w:keepNext w:val="1"/>
        <w:widowControl w:val="1"/>
      </w:pPr>
      <w:r>
        <w:t xml:space="preserve">M2_2 % riesgos alto impacto con requisito esencial.  </w:t>
      </w:r>
    </w:p>
    <w:p>
      <w:pPr>
        <w:pStyle w:val="ListBullet"/>
        <w:keepLines w:val="1"/>
        <w:keepNext w:val="1"/>
        <w:widowControl w:val="1"/>
      </w:pPr>
      <w:r>
        <w:t xml:space="preserve">M2_3 % requisitos mapeados a normativa.  </w:t>
      </w:r>
    </w:p>
    <w:p>
      <w:pPr>
        <w:pStyle w:val="ListBullet"/>
        <w:keepLines w:val="1"/>
        <w:keepNext w:val="1"/>
        <w:widowControl w:val="1"/>
      </w:pPr>
      <w:r>
        <w:t xml:space="preserve">M2_4 Frecuencia de revisión tras incidentes.  </w:t>
      </w:r>
    </w:p>
    <w:p>
      <w:pPr>
        <w:pStyle w:val="ListBullet"/>
        <w:keepLines w:val="1"/>
        <w:widowControl w:val="1"/>
      </w:pPr>
      <w:r>
        <w:t>M2_5 Índice de Gestión de Mandato (IGM).</w:t>
      </w:r>
    </w:p>
    <w:p>
      <w:r>
        <w:rPr>
          <w:rFonts w:ascii="Courier New" w:hAnsi="Courier New"/>
          <w:sz w:val="18"/>
        </w:rPr>
        <w:t>M1_5</w:t>
      </w:r>
      <w:r>
        <w:t xml:space="preserve"> Iteraciones de revisión (media).  </w:t>
      </w:r>
    </w:p>
    <w:p>
      <w:r>
        <w:rPr>
          <w:rFonts w:ascii="Courier New" w:hAnsi="Courier New"/>
          <w:sz w:val="18"/>
        </w:rPr>
        <w:t>M2_1</w:t>
      </w:r>
      <w:r>
        <w:t xml:space="preserve"> Activos críticos sin requisitos.  </w:t>
      </w:r>
    </w:p>
    <w:p>
      <w:r>
        <w:t>Las fórmulas exactas dependerán de cómo se hayan codificado las respuestas. Por 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M1_1 = mapa(P3_1_val) a un porcentaje aproximado</w:t>
        <w:br/>
      </w:r>
    </w:p>
    <w:p>
      <w:r>
        <w:t xml:space="preserve">Si se prefiere precisión, las organizaciones pueden introducir directamente porcentajes en columnas auxiliares (por ejemplo, </w:t>
      </w:r>
      <w:r>
        <w:rPr>
          <w:rFonts w:ascii="Courier New" w:hAnsi="Courier New"/>
          <w:sz w:val="18"/>
        </w:rPr>
        <w:t>%funciones_con_req</w:t>
      </w:r>
      <w:r>
        <w:t>) y usarlos en las fórmulas.</w:t>
      </w:r>
    </w:p>
    <w:p>
      <w:pPr>
        <w:pStyle w:val="Heading3"/>
        <w:keepNext/>
        <w:keepLines/>
      </w:pPr>
      <w:r>
        <w:t>3.2. Métricas M3.x (económicas)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Coste_requisitos (M3_1).  </w:t>
      </w:r>
    </w:p>
    <w:p>
      <w:pPr>
        <w:pStyle w:val="ListBullet"/>
        <w:keepLines w:val="1"/>
        <w:keepNext w:val="1"/>
        <w:widowControl w:val="1"/>
      </w:pPr>
      <w:r>
        <w:t xml:space="preserve">Beneficios_incidentes (M3_2).  </w:t>
      </w:r>
    </w:p>
    <w:p>
      <w:pPr>
        <w:pStyle w:val="ListBullet"/>
        <w:keepLines w:val="1"/>
        <w:keepNext w:val="1"/>
        <w:widowControl w:val="1"/>
      </w:pPr>
      <w:r>
        <w:t xml:space="preserve">Beneficios_retrabajo (M3_3).  </w:t>
      </w:r>
    </w:p>
    <w:p>
      <w:pPr>
        <w:pStyle w:val="ListBullet"/>
        <w:keepLines w:val="1"/>
        <w:keepNext w:val="1"/>
        <w:widowControl w:val="1"/>
      </w:pPr>
      <w:r>
        <w:t xml:space="preserve">Beneficios_auditoria (M3_4).  </w:t>
      </w:r>
    </w:p>
    <w:p>
      <w:pPr>
        <w:pStyle w:val="ListBullet"/>
        <w:keepLines w:val="1"/>
        <w:keepNext w:val="1"/>
        <w:widowControl w:val="1"/>
      </w:pPr>
      <w:r>
        <w:t xml:space="preserve">Beneficios_total = suma de anteriores.  </w:t>
      </w:r>
    </w:p>
    <w:p>
      <w:pPr>
        <w:pStyle w:val="ListBullet"/>
        <w:keepLines w:val="1"/>
        <w:widowControl w:val="1"/>
      </w:pPr>
      <w:r>
        <w:t xml:space="preserve">ROI (M3_5) = (Beneficios_total - Coste_requisitos) / Coste_requisitos.  </w:t>
      </w:r>
    </w:p>
    <w:p>
      <w:r>
        <w:t>La métrica M3_6 (correlación entre IGM y resultados) se calculará posteriormente a nivel agregado, no por fila.</w:t>
      </w:r>
    </w:p>
    <w:p>
      <w:pPr>
        <w:pStyle w:val="Heading2"/>
        <w:keepNext/>
        <w:keepLines/>
      </w:pPr>
      <w:r>
        <w:rPr>
          <w:color w:val="0066CC"/>
        </w:rPr>
        <w:t>4. Hoja “PRAGMATIC”</w:t>
      </w:r>
    </w:p>
    <w:p>
      <w:pPr>
        <w:pStyle w:val="Heading3"/>
        <w:keepNext/>
        <w:keepLines/>
      </w:pPr>
      <w:r>
        <w:t>4.1. Tabla de criterios por métrica</w:t>
      </w:r>
    </w:p>
    <w:p>
      <w: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(Significativo)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 (Preciso)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(Oportuno)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(Rentable)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</w:tr>
    </w:tbl>
    <w:p/>
    <w:p>
      <w:r>
        <w:t xml:space="preserve">Se rellenan los valores 0–2 para cada métrica según la matriz PRAGMATIC. La suma </w:t>
      </w:r>
      <w:r>
        <w:rPr>
          <w:rFonts w:ascii="Courier New" w:hAnsi="Courier New"/>
          <w:sz w:val="18"/>
        </w:rPr>
        <w:t>Total</w:t>
      </w:r>
      <w:r>
        <w:t xml:space="preserve"> se calcula con una simple suma de columnas.</w:t>
      </w:r>
    </w:p>
    <w:p>
      <w:pPr>
        <w:pStyle w:val="Heading3"/>
        <w:keepNext/>
        <w:keepLines/>
      </w:pPr>
      <w:r>
        <w:t>4.2. Uso en selección de métricas</w:t>
      </w:r>
    </w:p>
    <w:p>
      <w:r>
        <w:t xml:space="preserve">La hoja </w:t>
      </w:r>
      <w:r>
        <w:rPr>
          <w:rFonts w:ascii="Courier New" w:hAnsi="Courier New"/>
          <w:sz w:val="18"/>
        </w:rPr>
        <w:t>Parámetros</w:t>
      </w:r>
      <w:r>
        <w:t xml:space="preserve"> puede incluir umbrales, por ejemplo:</w:t>
      </w:r>
    </w:p>
    <w:p>
      <w:pPr>
        <w:pStyle w:val="ListBullet"/>
        <w:keepLines w:val="1"/>
        <w:widowControl w:val="1"/>
      </w:pPr>
      <w:r>
        <w:t>PRAGMATIC_min_nucleo = 15.</w:t>
      </w:r>
    </w:p>
    <w:p>
      <w:r>
        <w:t xml:space="preserve">En la hoja </w:t>
      </w:r>
      <w:r>
        <w:rPr>
          <w:rFonts w:ascii="Courier New" w:hAnsi="Courier New"/>
          <w:sz w:val="18"/>
        </w:rPr>
        <w:t>Métricas</w:t>
      </w:r>
      <w:r>
        <w:t xml:space="preserve"> o </w:t>
      </w:r>
      <w:r>
        <w:rPr>
          <w:rFonts w:ascii="Courier New" w:hAnsi="Courier New"/>
          <w:sz w:val="18"/>
        </w:rPr>
        <w:t>IGM</w:t>
      </w:r>
      <w:r>
        <w:t>, se puede usar una fórmula para marcar qué métricas pertenecen al cuadro de mando principal: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Es_nucleo = SI(PRAGMATIC_Total &gt;= PRAGMATIC_min_nucleo; "Sí"; "No")</w:t>
        <w:br/>
      </w:r>
    </w:p>
    <w:p>
      <w:pPr>
        <w:pStyle w:val="Heading2"/>
        <w:keepNext/>
        <w:keepLines/>
      </w:pPr>
      <w:r>
        <w:rPr>
          <w:color w:val="0066CC"/>
        </w:rPr>
        <w:t>5. Hoja “IGM”</w:t>
      </w:r>
    </w:p>
    <w:p>
      <w:pPr>
        <w:pStyle w:val="Heading3"/>
        <w:keepNext/>
        <w:keepLines/>
      </w:pPr>
      <w:r>
        <w:t>5.1. Dimensiones</w:t>
      </w:r>
    </w:p>
    <w:p>
      <w:r>
        <w:t>Se calculan cinco dimensiones por organización (como en el kit de encuesta):</w:t>
      </w:r>
    </w:p>
    <w:p>
      <w:pPr>
        <w:pStyle w:val="ListBullet"/>
        <w:keepLines w:val="1"/>
        <w:keepNext w:val="1"/>
        <w:widowControl w:val="1"/>
      </w:pPr>
      <w:r>
        <w:t xml:space="preserve">GOV – Gobernanza del proceso de requisitos.  </w:t>
      </w:r>
    </w:p>
    <w:p>
      <w:pPr>
        <w:pStyle w:val="ListBullet"/>
        <w:keepLines w:val="1"/>
        <w:keepNext w:val="1"/>
        <w:widowControl w:val="1"/>
      </w:pPr>
      <w:r>
        <w:t xml:space="preserve">RISK – Riesgos, activos y trazabilidad.  </w:t>
      </w:r>
    </w:p>
    <w:p>
      <w:pPr>
        <w:pStyle w:val="ListBullet"/>
        <w:keepLines w:val="1"/>
        <w:keepNext w:val="1"/>
        <w:widowControl w:val="1"/>
      </w:pPr>
      <w:r>
        <w:t xml:space="preserve">REQ – Cobertura y calidad de requisitos.  </w:t>
      </w:r>
    </w:p>
    <w:p>
      <w:pPr>
        <w:pStyle w:val="ListBullet"/>
        <w:keepLines w:val="1"/>
        <w:keepNext w:val="1"/>
        <w:widowControl w:val="1"/>
      </w:pPr>
      <w:r>
        <w:t xml:space="preserve">MET – Métricas y mejora continua.  </w:t>
      </w:r>
    </w:p>
    <w:p>
      <w:pPr>
        <w:pStyle w:val="ListBullet"/>
        <w:keepLines w:val="1"/>
        <w:widowControl w:val="1"/>
      </w:pPr>
      <w:r>
        <w:t>CAP – Capacidades y cultura.</w:t>
      </w:r>
    </w:p>
    <w:p>
      <w:r>
        <w:t>Cada dimensión es una media de las preguntas asociadas (transformadas a escala 0–100) o de métricas intermedias, según el nivel de refinamiento.</w:t>
      </w:r>
    </w:p>
    <w:p>
      <w:pPr>
        <w:pStyle w:val="Heading3"/>
        <w:keepNext/>
        <w:keepLines/>
      </w:pPr>
      <w:r>
        <w:t>5.2. Cálculo genérico</w:t>
      </w:r>
    </w:p>
    <w:p>
      <w: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GOV_raw = PROMEDIO( P1_1_val : P1_6_val, P5_1_val : P5_4_val )</w:t>
        <w:br/>
        <w:t>GOV = GOV_raw / 4 * 100</w:t>
        <w:br/>
      </w:r>
    </w:p>
    <w:p>
      <w:r>
        <w:t>Sucesivamente para RISK, REQ, MET, CAP.</w:t>
      </w:r>
    </w:p>
    <w:p>
      <w:pPr>
        <w:pStyle w:val="Heading3"/>
        <w:keepNext/>
        <w:keepLines/>
      </w:pPr>
      <w:r>
        <w:t>5.3. Cálculo del IGM</w:t>
      </w:r>
    </w:p>
    <w:p>
      <w:r>
        <w:t xml:space="preserve">En </w:t>
      </w:r>
      <w:r>
        <w:rPr>
          <w:rFonts w:ascii="Courier New" w:hAnsi="Courier New"/>
          <w:sz w:val="18"/>
        </w:rPr>
        <w:t>Parámetros</w:t>
      </w:r>
      <w:r>
        <w:t xml:space="preserve"> se definen pesos:</w:t>
      </w:r>
    </w:p>
    <w:p>
      <w:pPr>
        <w:pStyle w:val="ListBullet"/>
        <w:keepLines w:val="1"/>
        <w:widowControl w:val="1"/>
      </w:pPr>
      <w:r>
        <w:t>w_GOV, w_RISK, w_REQ, w_MET, w_CAP.</w:t>
      </w:r>
    </w:p>
    <w:p>
      <w:r>
        <w:t xml:space="preserve">En </w:t>
      </w:r>
      <w:r>
        <w:rPr>
          <w:rFonts w:ascii="Courier New" w:hAnsi="Courier New"/>
          <w:sz w:val="18"/>
        </w:rPr>
        <w:t>IGM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w_GOV*GOV + w_RISK*RISK + w_REQ*REQ + w_MET*MET + w_CAP*CAP</w:t>
        <w:br/>
      </w:r>
    </w:p>
    <w:p>
      <w:r>
        <w:t xml:space="preserve">El resultado puede redondearse con </w:t>
      </w:r>
      <w:r>
        <w:rPr>
          <w:rFonts w:ascii="Courier New" w:hAnsi="Courier New"/>
          <w:sz w:val="18"/>
        </w:rPr>
        <w:t>REDONDEAR(IGM; 1)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6. Hoja “ROI”</w:t>
      </w:r>
    </w:p>
    <w:p>
      <w:r>
        <w:t>Además de los cálculos por organización:</w:t>
      </w:r>
    </w:p>
    <w:p>
      <w:pPr>
        <w:pStyle w:val="ListBullet"/>
        <w:keepLines w:val="1"/>
        <w:keepNext w:val="1"/>
        <w:widowControl w:val="1"/>
      </w:pPr>
      <w:r>
        <w:t xml:space="preserve">Se pueden incluir gráficos de dispersión ROI vs. IGM.  </w:t>
      </w:r>
    </w:p>
    <w:p>
      <w:pPr>
        <w:pStyle w:val="ListBullet"/>
        <w:keepLines w:val="1"/>
        <w:keepNext w:val="1"/>
        <w:widowControl w:val="1"/>
      </w:pPr>
      <w:r>
        <w:t xml:space="preserve">Tablas dinámicas por sector, tamaño, etc.  </w:t>
      </w:r>
    </w:p>
    <w:p>
      <w:pPr>
        <w:pStyle w:val="ListBullet"/>
        <w:keepLines w:val="1"/>
        <w:widowControl w:val="1"/>
      </w:pPr>
      <w:r>
        <w:t>Escenarios (optimista, conservador, pesimista) mediante multiplicadores de beneficios almacenados en Parámetros.</w:t>
      </w:r>
    </w:p>
    <w:p>
      <w:pPr>
        <w:pStyle w:val="Heading2"/>
        <w:keepNext/>
        <w:keepLines/>
      </w:pPr>
      <w:r>
        <w:rPr>
          <w:color w:val="0066CC"/>
        </w:rPr>
        <w:t>7. Hoja “Parámetros”</w:t>
      </w:r>
    </w:p>
    <w:p>
      <w:r>
        <w:t>Campos sugeridos:</w:t>
      </w:r>
    </w:p>
    <w:p>
      <w:pPr>
        <w:pStyle w:val="ListBullet"/>
        <w:keepLines w:val="1"/>
        <w:keepNext w:val="1"/>
        <w:widowControl w:val="1"/>
      </w:pPr>
      <w:r>
        <w:t xml:space="preserve">Pesos IGM: w_GOV, w_RISK, w_REQ, w_MET, w_CAP.  </w:t>
      </w:r>
    </w:p>
    <w:p>
      <w:pPr>
        <w:pStyle w:val="ListBullet"/>
        <w:keepLines w:val="1"/>
        <w:keepNext w:val="1"/>
        <w:widowControl w:val="1"/>
      </w:pPr>
      <w:r>
        <w:t xml:space="preserve">Umbral PRAGMATIC para métricas núcleo.  </w:t>
      </w:r>
    </w:p>
    <w:p>
      <w:pPr>
        <w:pStyle w:val="ListBullet"/>
        <w:keepLines w:val="1"/>
        <w:keepNext w:val="1"/>
        <w:widowControl w:val="1"/>
      </w:pPr>
      <w:r>
        <w:t xml:space="preserve">Factores escenario ROI (factor_opt, factor_cons, factor_pes).  </w:t>
      </w:r>
    </w:p>
    <w:p>
      <w:pPr>
        <w:pStyle w:val="ListBullet"/>
        <w:keepLines w:val="1"/>
        <w:widowControl w:val="1"/>
      </w:pPr>
      <w:r>
        <w:t>Límites de clasificación de madurez (por ejemplo, 0–19, 20–39, etc.).</w:t>
      </w:r>
    </w:p>
    <w:p>
      <w:pPr>
        <w:pStyle w:val="Heading2"/>
        <w:keepNext/>
        <w:keepLines/>
      </w:pPr>
      <w:r>
        <w:rPr>
          <w:color w:val="0066CC"/>
        </w:rPr>
        <w:t>8. Consideraciones prácticas</w:t>
      </w:r>
    </w:p>
    <w:p>
      <w:pPr>
        <w:pStyle w:val="ListBullet"/>
        <w:keepLines w:val="1"/>
        <w:keepNext w:val="1"/>
        <w:widowControl w:val="1"/>
      </w:pPr>
      <w:r>
        <w:t xml:space="preserve">Es recomendable proteger fórmulas críticas para evitar ediciones accidentales.  </w:t>
      </w:r>
    </w:p>
    <w:p>
      <w:pPr>
        <w:pStyle w:val="ListBullet"/>
        <w:keepLines w:val="1"/>
        <w:keepNext w:val="1"/>
        <w:widowControl w:val="1"/>
      </w:pPr>
      <w:r>
        <w:t xml:space="preserve">Se pueden crear vistas específicas para organizaciones (solo su fila) y vistas agregadas para responsables nacionales.  </w:t>
      </w:r>
    </w:p>
    <w:p>
      <w:pPr>
        <w:pStyle w:val="ListBullet"/>
        <w:keepLines w:val="1"/>
        <w:widowControl w:val="1"/>
      </w:pPr>
      <w:r>
        <w:t>Siempre que sea posible, automatice la carga de datos desde herramientas ALM o de gestión de requisitos, para reducir el coste de recopilación.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