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pPr>
        <w:pStyle w:val="Heading2"/>
        <w:keepNext/>
        <w:keepLines/>
      </w:pPr>
      <w:r>
        <w:rPr>
          <w:color w:val="0066CC"/>
        </w:rPr>
        <w:t>Especificación para implementación</w:t>
      </w:r>
    </w:p>
    <w:p>
      <w:r>
        <w:t>Este documento describe la estructura recomendada de un libro Excel</w:t>
      </w:r>
      <w:r/>
      <w:r>
        <w:br/>
        <w:t>que permita calcular automáticamente el Índice Global de Madurez (IGM)</w:t>
      </w:r>
      <w:r/>
      <w:r>
        <w:br/>
        <w:t>y estimaciones de ROI asociadas a la ingeniería de requisitos de seguridad.</w:t>
      </w:r>
    </w:p>
    <w:p>
      <w:pPr>
        <w:pStyle w:val="Heading2"/>
        <w:keepNext/>
        <w:keepLines/>
      </w:pPr>
      <w:r>
        <w:rPr>
          <w:color w:val="0066CC"/>
        </w:rPr>
        <w:t>1. Estructura del libro</w:t>
      </w:r>
    </w:p>
    <w:p>
      <w:r>
        <w:t>Se recomiendan las siguientes hojas:</w:t>
      </w:r>
    </w:p>
    <w:p>
      <w:pPr>
        <w:pStyle w:val="ListNumber"/>
        <w:keepLines w:val="1"/>
        <w:keepNext w:val="1"/>
        <w:widowControl w:val="1"/>
      </w:pPr>
      <w:r>
        <w:t xml:space="preserve">Respuestas – Registro de respuestas codificadas por organización.  </w:t>
      </w:r>
    </w:p>
    <w:p>
      <w:pPr>
        <w:pStyle w:val="ListNumber"/>
        <w:keepLines w:val="1"/>
        <w:keepNext w:val="1"/>
        <w:widowControl w:val="1"/>
      </w:pPr>
      <w:r>
        <w:t xml:space="preserve">Codificación – Tablas de mapeo entre opciones de respuesta y valores numéricos.  </w:t>
      </w:r>
    </w:p>
    <w:p>
      <w:pPr>
        <w:pStyle w:val="ListNumber"/>
        <w:keepLines w:val="1"/>
        <w:keepNext w:val="1"/>
        <w:widowControl w:val="1"/>
      </w:pPr>
      <w:r>
        <w:t xml:space="preserve">IGM – Cálculo de dimensiones y del Índice Global de Madurez.  </w:t>
      </w:r>
    </w:p>
    <w:p>
      <w:pPr>
        <w:pStyle w:val="ListNumber"/>
        <w:keepLines w:val="1"/>
        <w:keepNext w:val="1"/>
        <w:widowControl w:val="1"/>
      </w:pPr>
      <w:r>
        <w:t xml:space="preserve">ROI – Cálculo y escenarios de ROI.  </w:t>
      </w:r>
    </w:p>
    <w:p>
      <w:pPr>
        <w:pStyle w:val="ListNumber"/>
        <w:keepLines w:val="1"/>
        <w:widowControl w:val="1"/>
      </w:pPr>
      <w:r>
        <w:t>Parametros – Pesos, supuestos y constantes (costes, factores, etc.).</w:t>
      </w:r>
    </w:p>
    <w:p>
      <w:pPr>
        <w:pStyle w:val="Heading2"/>
        <w:keepNext/>
        <w:keepLines/>
      </w:pPr>
      <w:r>
        <w:rPr>
          <w:color w:val="0066CC"/>
        </w:rPr>
        <w:t>2. Hoja “Respuestas”</w:t>
      </w:r>
    </w:p>
    <w:p>
      <w:r>
        <w:t>Columnas mínimas:</w:t>
      </w:r>
    </w:p>
    <w:p>
      <w:pPr>
        <w:pStyle w:val="ListBullet"/>
        <w:keepLines w:val="1"/>
        <w:keepNext w:val="1"/>
        <w:widowControl w:val="1"/>
      </w:pPr>
      <w:r>
        <w:t xml:space="preserve">Org_ID – Identificador anónimo de organización.  </w:t>
      </w:r>
    </w:p>
    <w:p>
      <w:pPr>
        <w:pStyle w:val="ListBullet"/>
        <w:keepLines w:val="1"/>
        <w:keepNext w:val="1"/>
        <w:widowControl w:val="1"/>
      </w:pPr>
      <w:r>
        <w:t xml:space="preserve">Sector – Sector según P0.1.  </w:t>
      </w:r>
    </w:p>
    <w:p>
      <w:pPr>
        <w:pStyle w:val="ListBullet"/>
        <w:keepLines w:val="1"/>
        <w:keepNext w:val="1"/>
        <w:widowControl w:val="1"/>
      </w:pPr>
      <w:r>
        <w:t xml:space="preserve">Tamano – Tamaño según P0.2.  </w:t>
      </w:r>
    </w:p>
    <w:p>
      <w:pPr>
        <w:pStyle w:val="ListBullet"/>
        <w:keepLines w:val="1"/>
        <w:keepNext w:val="1"/>
        <w:widowControl w:val="1"/>
      </w:pPr>
      <w:r>
        <w:t xml:space="preserve">Ambito – Ámbito geográfico según P0.3.  </w:t>
      </w:r>
    </w:p>
    <w:p>
      <w:pPr>
        <w:pStyle w:val="ListBullet"/>
        <w:keepLines w:val="1"/>
        <w:widowControl w:val="1"/>
      </w:pPr>
      <w:r>
        <w:t xml:space="preserve">Columnas para cada pregunta cerrada: P1_1, P1_2, …, P9_3, etc.  </w:t>
      </w:r>
    </w:p>
    <w:p>
      <w:r>
        <w:t xml:space="preserve">Cada celda debe contener el código de respuesta (por ejemplo, un número entero) según la hoja </w:t>
      </w:r>
      <w:r>
        <w:rPr>
          <w:rFonts w:ascii="Courier New" w:hAnsi="Courier New"/>
          <w:sz w:val="18"/>
        </w:rPr>
        <w:t>Codificación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3. Hoja “Codificación”</w:t>
      </w:r>
    </w:p>
    <w:p>
      <w:r>
        <w:t>Para cada pregunta, una pequeña tabla: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opción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opción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numérico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 90 %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70–90 %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40–69 %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10–39 %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 10 %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P3_1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 se sabe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(en blanco)</w:t>
            </w:r>
          </w:p>
        </w:tc>
      </w:tr>
    </w:tbl>
    <w:p/>
    <w:p>
      <w:r>
        <w:t xml:space="preserve">La implementación práctica puede hacerse con funciones de búsqueda (por ejemplo, </w:t>
      </w:r>
      <w:r>
        <w:rPr>
          <w:rFonts w:ascii="Courier New" w:hAnsi="Courier New"/>
          <w:sz w:val="18"/>
        </w:rPr>
        <w:t>BUSCARV</w:t>
      </w:r>
      <w:r>
        <w:t>/</w:t>
      </w:r>
      <w:r>
        <w:rPr>
          <w:rFonts w:ascii="Courier New" w:hAnsi="Courier New"/>
          <w:sz w:val="18"/>
        </w:rPr>
        <w:t>XLOOKUP</w:t>
      </w:r>
      <w:r>
        <w:t xml:space="preserve">), creando una columna derivada por cada pregunta en la hoja </w:t>
      </w:r>
      <w:r>
        <w:rPr>
          <w:rFonts w:ascii="Courier New" w:hAnsi="Courier New"/>
          <w:sz w:val="18"/>
        </w:rPr>
        <w:t>Respuestas</w:t>
      </w:r>
      <w:r>
        <w:t xml:space="preserve"> con su valor numérico asociado.</w:t>
      </w:r>
    </w:p>
    <w:p>
      <w:pPr>
        <w:pStyle w:val="Heading2"/>
        <w:keepNext/>
        <w:keepLines/>
      </w:pPr>
      <w:r>
        <w:rPr>
          <w:color w:val="0066CC"/>
        </w:rPr>
        <w:t>4. Hoja “IGM”</w:t>
      </w:r>
    </w:p>
    <w:p>
      <w:pPr>
        <w:pStyle w:val="Heading3"/>
        <w:keepNext/>
        <w:keepLines/>
      </w:pPr>
      <w:r>
        <w:t>4.1. Estructura básica</w:t>
      </w:r>
    </w:p>
    <w:p>
      <w:r>
        <w:t xml:space="preserve">Para cada organización (fila de </w:t>
      </w:r>
      <w:r>
        <w:rPr>
          <w:rFonts w:ascii="Courier New" w:hAnsi="Courier New"/>
          <w:sz w:val="18"/>
        </w:rPr>
        <w:t>Respuestas</w:t>
      </w:r>
      <w:r>
        <w:t>), se crearán columnas:</w:t>
      </w:r>
    </w:p>
    <w:p>
      <w:pPr>
        <w:pStyle w:val="ListBullet"/>
        <w:keepLines w:val="1"/>
        <w:keepNext w:val="1"/>
        <w:widowControl w:val="1"/>
      </w:pPr>
      <w:r>
        <w:t xml:space="preserve">Valores numéricos por pregunta: P1_1_val, P1_2_val, etc.  </w:t>
      </w:r>
    </w:p>
    <w:p>
      <w:pPr>
        <w:pStyle w:val="ListBullet"/>
        <w:keepLines w:val="1"/>
        <w:keepNext w:val="1"/>
        <w:widowControl w:val="1"/>
      </w:pPr>
      <w:r>
        <w:t xml:space="preserve">Puntaciones de dimensión: GOV, RISK, REQ, MET, CAP.  </w:t>
      </w:r>
    </w:p>
    <w:p>
      <w:pPr>
        <w:pStyle w:val="ListBullet"/>
        <w:keepLines w:val="1"/>
        <w:widowControl w:val="1"/>
      </w:pPr>
      <w:r>
        <w:t>IGM – Índice Global de Madurez.</w:t>
      </w:r>
    </w:p>
    <w:p>
      <w:pPr>
        <w:pStyle w:val="Heading3"/>
        <w:keepNext/>
        <w:keepLines/>
      </w:pPr>
      <w:r>
        <w:t>4.2. Fórmulas ejemplo</w:t>
      </w:r>
    </w:p>
    <w:p>
      <w:r>
        <w:t>Supongamos:</w:t>
      </w:r>
      <w:r/>
      <w:r>
        <w:br/>
        <w:t xml:space="preserve">- </w:t>
      </w:r>
      <w:r>
        <w:rPr>
          <w:rFonts w:ascii="Courier New" w:hAnsi="Courier New"/>
          <w:sz w:val="18"/>
        </w:rPr>
        <w:t>GOV</w:t>
      </w:r>
      <w:r>
        <w:t xml:space="preserve"> se calcula como media de P1.1–P1.6 y P5.1–P5.4.</w:t>
      </w:r>
      <w:r/>
      <w:r>
        <w:br/>
        <w:t xml:space="preserve">- </w:t>
      </w:r>
      <w:r>
        <w:rPr>
          <w:rFonts w:ascii="Courier New" w:hAnsi="Courier New"/>
          <w:sz w:val="18"/>
        </w:rPr>
        <w:t>RISK</w:t>
      </w:r>
      <w:r>
        <w:t xml:space="preserve"> a partir de P2.1–P2.5 y P6.1–P6.3.</w:t>
      </w:r>
      <w:r/>
      <w:r>
        <w:br/>
        <w:t xml:space="preserve">- </w:t>
      </w:r>
      <w:r>
        <w:rPr>
          <w:rFonts w:ascii="Courier New" w:hAnsi="Courier New"/>
          <w:sz w:val="18"/>
        </w:rPr>
        <w:t>REQ</w:t>
      </w:r>
      <w:r>
        <w:t xml:space="preserve"> a partir de P3.1–P3.6.</w:t>
      </w:r>
      <w:r/>
      <w:r>
        <w:br/>
        <w:t xml:space="preserve">- </w:t>
      </w:r>
      <w:r>
        <w:rPr>
          <w:rFonts w:ascii="Courier New" w:hAnsi="Courier New"/>
          <w:sz w:val="18"/>
        </w:rPr>
        <w:t>MET</w:t>
      </w:r>
      <w:r>
        <w:t xml:space="preserve"> a partir de P4.1–P4.5 y P8.3.</w:t>
      </w:r>
      <w:r/>
      <w:r>
        <w:br/>
        <w:t xml:space="preserve">- </w:t>
      </w:r>
      <w:r>
        <w:rPr>
          <w:rFonts w:ascii="Courier New" w:hAnsi="Courier New"/>
          <w:sz w:val="18"/>
        </w:rPr>
        <w:t>CAP</w:t>
      </w:r>
      <w:r>
        <w:t xml:space="preserve"> a partir de P7.1–P7.3 y P9.1–P9.3.</w:t>
      </w:r>
    </w:p>
    <w:p>
      <w:r>
        <w:t>Ejemplo de cálculo para GOV (en pseudo‑fórmula):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GOV_raw = PROMEDIO( P1_1_val : P1_6_val, P5_1_val : P5_4_val )</w:t>
        <w:br/>
        <w:t>GOV = GOV_raw / 4 * 100</w:t>
        <w:br/>
      </w:r>
    </w:p>
    <w:p>
      <w:r>
        <w:t>(Asumiendo que el valor máximo posible para cada pregunta es 4.)</w:t>
      </w:r>
    </w:p>
    <w:p>
      <w:r>
        <w:t>Ejemplo de IGM: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0,2*GOV + 0,25*RISK + 0,25*REQ + 0,15*MET + 0,15*CAP</w:t>
        <w:br/>
      </w:r>
    </w:p>
    <w:p>
      <w:r>
        <w:t xml:space="preserve">Los pesos (0,2; 0,25; etc.) pueden referenciarse a celdas de la hoja </w:t>
      </w:r>
      <w:r>
        <w:rPr>
          <w:rFonts w:ascii="Courier New" w:hAnsi="Courier New"/>
          <w:sz w:val="18"/>
        </w:rPr>
        <w:t>Parametros</w:t>
      </w:r>
      <w:r>
        <w:t xml:space="preserve"> para poder ajustarlos sin modificar fórmulas.</w:t>
      </w:r>
    </w:p>
    <w:p>
      <w:pPr>
        <w:pStyle w:val="Heading2"/>
        <w:keepNext/>
        <w:keepLines/>
      </w:pPr>
      <w:r>
        <w:rPr>
          <w:color w:val="0066CC"/>
        </w:rPr>
        <w:t>5. Hoja “ROI”</w:t>
      </w:r>
    </w:p>
    <w:p>
      <w:pPr>
        <w:pStyle w:val="Heading3"/>
        <w:keepNext/>
        <w:keepLines/>
      </w:pPr>
      <w:r>
        <w:t>5.1. Datos de entrada</w:t>
      </w:r>
    </w:p>
    <w:p>
      <w:r>
        <w:t>Por organización, se sugieren columnas:</w:t>
      </w:r>
    </w:p>
    <w:p>
      <w:pPr>
        <w:pStyle w:val="ListBullet"/>
        <w:keepLines w:val="1"/>
        <w:keepNext w:val="1"/>
        <w:widowControl w:val="1"/>
      </w:pPr>
      <w:r>
        <w:t xml:space="preserve">Coste_requisitos – Costes anuales estimados del proceso de requisitos de seguridad.  </w:t>
      </w:r>
    </w:p>
    <w:p>
      <w:pPr>
        <w:pStyle w:val="ListBullet"/>
        <w:keepLines w:val="1"/>
        <w:keepNext w:val="1"/>
        <w:widowControl w:val="1"/>
      </w:pPr>
      <w:r>
        <w:t xml:space="preserve">Beneficios_incidentes – Ahorros por incidentes evitados/mitigados.  </w:t>
      </w:r>
    </w:p>
    <w:p>
      <w:pPr>
        <w:pStyle w:val="ListBullet"/>
        <w:keepLines w:val="1"/>
        <w:keepNext w:val="1"/>
        <w:widowControl w:val="1"/>
      </w:pPr>
      <w:r>
        <w:t xml:space="preserve">Beneficios_retrabajo – Ahorros por reducción de retrabajo.  </w:t>
      </w:r>
    </w:p>
    <w:p>
      <w:pPr>
        <w:pStyle w:val="ListBullet"/>
        <w:keepLines w:val="1"/>
        <w:keepNext w:val="1"/>
        <w:widowControl w:val="1"/>
      </w:pPr>
      <w:r>
        <w:t xml:space="preserve">Beneficios_auditoria – Ahorros por auditorías/certificaciones más eficientes.  </w:t>
      </w:r>
    </w:p>
    <w:p>
      <w:pPr>
        <w:pStyle w:val="ListBullet"/>
        <w:keepLines w:val="1"/>
        <w:widowControl w:val="1"/>
      </w:pPr>
      <w:r>
        <w:t xml:space="preserve">Beneficios_total – Suma de beneficios (columna calculada).  </w:t>
      </w:r>
    </w:p>
    <w:p>
      <w:pPr>
        <w:pStyle w:val="Heading3"/>
        <w:keepNext/>
        <w:keepLines/>
      </w:pPr>
      <w:r>
        <w:t>5.2. 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Beneficios_total = Beneficios_incidentes + Beneficios_retrabajo + Beneficios_auditoria</w:t>
        <w:br/>
        <w:br/>
        <w:t>ROI = (Beneficios_total - Coste_requisitos) / Coste_requisitos</w:t>
        <w:br/>
      </w:r>
    </w:p>
    <w:p>
      <w:r>
        <w:t xml:space="preserve">Se pueden crear columnas de escenarios (optimista, conservador, pesimista) multiplicando los beneficios por factores almacenados en la hoja </w:t>
      </w:r>
      <w:r>
        <w:rPr>
          <w:rFonts w:ascii="Courier New" w:hAnsi="Courier New"/>
          <w:sz w:val="18"/>
        </w:rPr>
        <w:t>Parametros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6. Hoja “Parametros”</w:t>
      </w:r>
    </w:p>
    <w:p>
      <w:r>
        <w:t>Ejemplos de parámetros:</w:t>
      </w:r>
    </w:p>
    <w:p>
      <w:pPr>
        <w:pStyle w:val="ListBullet"/>
        <w:keepLines w:val="1"/>
        <w:keepNext w:val="1"/>
        <w:widowControl w:val="1"/>
      </w:pPr>
      <w:r>
        <w:t xml:space="preserve">Pesos de dimensiones: w_GOV, w_RISK, w_REQ, w_MET, w_CAP.  </w:t>
      </w:r>
    </w:p>
    <w:p>
      <w:pPr>
        <w:pStyle w:val="ListBullet"/>
        <w:keepLines w:val="1"/>
        <w:keepNext w:val="1"/>
        <w:widowControl w:val="1"/>
      </w:pPr>
      <w:r>
        <w:t xml:space="preserve">Factores para escenarios ROI: Escenario_optimista, Escenario_conservador, Escenario_pesimista.  </w:t>
      </w:r>
    </w:p>
    <w:p>
      <w:pPr>
        <w:pStyle w:val="ListBullet"/>
        <w:keepLines w:val="1"/>
        <w:widowControl w:val="1"/>
      </w:pPr>
      <w:r>
        <w:t>Valores máximos posibles por dimensión, si difieren del estándar.</w:t>
      </w:r>
    </w:p>
    <w:p>
      <w:pPr>
        <w:pStyle w:val="Heading2"/>
        <w:keepNext/>
        <w:keepLines/>
      </w:pPr>
      <w:r>
        <w:rPr>
          <w:color w:val="0066CC"/>
        </w:rPr>
        <w:t>7. Visualizaciones recomendadas</w:t>
      </w:r>
    </w:p>
    <w:p>
      <w:r>
        <w:t>Aunque no se incluyen directamente en esta especificación, se sugieren:</w:t>
      </w:r>
    </w:p>
    <w:p>
      <w:pPr>
        <w:pStyle w:val="ListBullet"/>
        <w:keepLines w:val="1"/>
        <w:keepNext w:val="1"/>
        <w:widowControl w:val="1"/>
      </w:pPr>
      <w:r>
        <w:t xml:space="preserve">Gráficos radar para comparar dimensiones del IGM por organización o sector.  </w:t>
      </w:r>
    </w:p>
    <w:p>
      <w:pPr>
        <w:pStyle w:val="ListBullet"/>
        <w:keepLines w:val="1"/>
        <w:keepNext w:val="1"/>
        <w:widowControl w:val="1"/>
      </w:pPr>
      <w:r>
        <w:t xml:space="preserve">Histogramas del IGM global.  </w:t>
      </w:r>
    </w:p>
    <w:p>
      <w:pPr>
        <w:pStyle w:val="ListBullet"/>
        <w:keepLines w:val="1"/>
        <w:widowControl w:val="1"/>
      </w:pPr>
      <w:r>
        <w:t xml:space="preserve">Diagramas de dispersión (IGM vs. número de incidentes, IGM vs. ROI, etc.).  </w:t>
      </w:r>
    </w:p>
    <w:p>
      <w:r>
        <w:t>El objetivo es permitir que un tablero de mando resuma, a golpe de vista, quién está en el “lejano oeste digital” y quién se acerca al “monasterio cartujo”.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