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SQUARE (formato para PowerPoint)</w:t>
      </w:r>
    </w:p>
    <w:p>
      <w:pPr>
        <w:pStyle w:val="Heading2"/>
        <w:keepNext/>
        <w:keepLines/>
      </w:pPr>
      <w:r>
        <w:rPr>
          <w:color w:val="0066CC"/>
        </w:rPr>
        <w:t>Estructura sugerida de presentación</w:t>
      </w:r>
    </w:p>
    <w:p>
      <w:r>
        <w:t>Esta plantilla describe las diapositivas recomendadas para presentar</w:t>
      </w:r>
      <w:r/>
      <w:r>
        <w:br/>
        <w:t>los resultados de la encuesta SQUARE a comités de dirección, consejos,</w:t>
      </w:r>
      <w:r/>
      <w:r>
        <w:br/>
        <w:t>reguladores o foros sectoriales.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“Informe SQUARE de Requisitos de Seguridad – [Organización/Sector/País]”  </w:t>
      </w:r>
    </w:p>
    <w:p>
      <w:pPr>
        <w:pStyle w:val="ListBullet"/>
        <w:keepLines w:val="1"/>
        <w:keepNext w:val="1"/>
        <w:widowControl w:val="1"/>
      </w:pPr>
      <w:r>
        <w:t xml:space="preserve">Subtítulo: “Resultados de la encuesta [año]”  </w:t>
      </w:r>
    </w:p>
    <w:p>
      <w:pPr>
        <w:pStyle w:val="ListBullet"/>
        <w:keepLines w:val="1"/>
        <w:keepNext w:val="1"/>
        <w:widowControl w:val="1"/>
      </w:pPr>
      <w:r>
        <w:t xml:space="preserve">Logotipos relevantes (organización, consorcio, organismos públicos).  </w:t>
      </w:r>
    </w:p>
    <w:p>
      <w:pPr>
        <w:pStyle w:val="ListBullet"/>
        <w:keepLines w:val="1"/>
        <w:widowControl w:val="1"/>
      </w:pPr>
      <w:r>
        <w:t>Nombre del responsable que presenta y fecha.</w:t>
      </w:r>
    </w:p>
    <w:p>
      <w:pPr>
        <w:pStyle w:val="Heading2"/>
        <w:keepNext/>
        <w:keepLines/>
      </w:pPr>
      <w:r>
        <w:rPr>
          <w:color w:val="0066CC"/>
        </w:rPr>
        <w:t>Diapositiva 2 – Propósito y alcance</w:t>
      </w:r>
    </w:p>
    <w:p>
      <w:pPr>
        <w:pStyle w:val="ListBullet"/>
        <w:keepLines w:val="1"/>
        <w:keepNext w:val="1"/>
        <w:widowControl w:val="1"/>
      </w:pPr>
      <w:r>
        <w:t xml:space="preserve">Breve explicación del objetivo de la encuesta.  </w:t>
      </w:r>
    </w:p>
    <w:p>
      <w:pPr>
        <w:pStyle w:val="ListBullet"/>
        <w:keepLines w:val="1"/>
        <w:keepNext w:val="1"/>
        <w:widowControl w:val="1"/>
      </w:pPr>
      <w:r>
        <w:t xml:space="preserve">Alcance: número de organizaciones, sectores, períodos analizados.  </w:t>
      </w:r>
    </w:p>
    <w:p>
      <w:pPr>
        <w:pStyle w:val="ListBullet"/>
        <w:keepLines w:val="1"/>
        <w:widowControl w:val="1"/>
      </w:pPr>
      <w:r>
        <w:t>Aclaración: no es una auditoría, sino un diagnóstico de madurez.</w:t>
      </w:r>
    </w:p>
    <w:p>
      <w:pPr>
        <w:pStyle w:val="Heading2"/>
        <w:keepNext/>
        <w:keepLines/>
      </w:pPr>
      <w:r>
        <w:rPr>
          <w:color w:val="0066CC"/>
        </w:rPr>
        <w:t>Diapositiva 3 – Metodología en dos pinceladas</w:t>
      </w:r>
    </w:p>
    <w:p>
      <w:pPr>
        <w:pStyle w:val="ListBullet"/>
        <w:keepLines w:val="1"/>
        <w:keepNext w:val="1"/>
        <w:widowControl w:val="1"/>
      </w:pPr>
      <w:r>
        <w:t xml:space="preserve">Origen SQUARE y su foco en requisitos de seguridad.  </w:t>
      </w:r>
    </w:p>
    <w:p>
      <w:pPr>
        <w:pStyle w:val="ListBullet"/>
        <w:keepLines w:val="1"/>
        <w:keepNext w:val="1"/>
        <w:widowControl w:val="1"/>
      </w:pPr>
      <w:r>
        <w:t xml:space="preserve">Estructura de la encuesta (bloques temáticos).  </w:t>
      </w:r>
    </w:p>
    <w:p>
      <w:pPr>
        <w:pStyle w:val="ListBullet"/>
        <w:keepLines w:val="1"/>
        <w:widowControl w:val="1"/>
      </w:pPr>
      <w:r>
        <w:t>Definición del Índice Global de Madurez (IGM) y dimensiones clave.</w:t>
      </w:r>
    </w:p>
    <w:p>
      <w:pPr>
        <w:pStyle w:val="Heading2"/>
        <w:keepNext/>
        <w:keepLines/>
      </w:pPr>
      <w:r>
        <w:rPr>
          <w:color w:val="0066CC"/>
        </w:rPr>
        <w:t>Diapositiva 4 – Foto general del IGM</w:t>
      </w:r>
    </w:p>
    <w:p>
      <w:pPr>
        <w:pStyle w:val="ListBullet"/>
        <w:keepLines w:val="1"/>
        <w:keepNext w:val="1"/>
        <w:widowControl w:val="1"/>
      </w:pPr>
      <w:r>
        <w:t xml:space="preserve">Gráfico: distribución del IGM (histograma o boxplot).  </w:t>
      </w:r>
    </w:p>
    <w:p>
      <w:pPr>
        <w:pStyle w:val="ListBullet"/>
        <w:keepLines w:val="1"/>
        <w:keepNext w:val="1"/>
        <w:widowControl w:val="1"/>
      </w:pPr>
      <w:r>
        <w:t xml:space="preserve">Mensaje clave: posición media, rango, cuartiles.  </w:t>
      </w:r>
    </w:p>
    <w:p>
      <w:pPr>
        <w:pStyle w:val="ListBullet"/>
        <w:keepLines w:val="1"/>
        <w:widowControl w:val="1"/>
      </w:pPr>
      <w:r>
        <w:t>Interpretación breve: “where we stand”.</w:t>
      </w:r>
    </w:p>
    <w:p>
      <w:pPr>
        <w:pStyle w:val="Heading2"/>
        <w:keepNext/>
        <w:keepLines/>
      </w:pPr>
      <w:r>
        <w:rPr>
          <w:color w:val="0066CC"/>
        </w:rPr>
        <w:t>Diapositiva 5 – Radar de dimensiones</w:t>
      </w:r>
    </w:p>
    <w:p>
      <w:pPr>
        <w:pStyle w:val="ListBullet"/>
        <w:keepLines w:val="1"/>
        <w:keepNext w:val="1"/>
        <w:widowControl w:val="1"/>
      </w:pPr>
      <w:r>
        <w:t xml:space="preserve">Gráfico radar con GOV, RISK, REQ, MET, CAP.  </w:t>
      </w:r>
    </w:p>
    <w:p>
      <w:pPr>
        <w:pStyle w:val="ListBullet"/>
        <w:keepLines w:val="1"/>
        <w:keepNext w:val="1"/>
        <w:widowControl w:val="1"/>
      </w:pPr>
      <w:r>
        <w:t xml:space="preserve">Comparación: promedio general vs. organización o sector específico.  </w:t>
      </w:r>
    </w:p>
    <w:p>
      <w:pPr>
        <w:pStyle w:val="ListBullet"/>
        <w:keepLines w:val="1"/>
        <w:widowControl w:val="1"/>
      </w:pPr>
      <w:r>
        <w:t>Mensaje: fortalezas relativas y áreas claramente más débiles.</w:t>
      </w:r>
    </w:p>
    <w:p>
      <w:pPr>
        <w:pStyle w:val="Heading2"/>
        <w:keepNext/>
        <w:keepLines/>
      </w:pPr>
      <w:r>
        <w:rPr>
          <w:color w:val="0066CC"/>
        </w:rPr>
        <w:t>Diapositiva 6 – Gobernanza y proceso (GOV)</w:t>
      </w:r>
    </w:p>
    <w:p>
      <w:pPr>
        <w:pStyle w:val="ListBullet"/>
        <w:keepLines w:val="1"/>
        <w:keepNext w:val="1"/>
        <w:widowControl w:val="1"/>
      </w:pPr>
      <w:r>
        <w:t xml:space="preserve">Resumen de resultados de P1.x y P5.x.  </w:t>
      </w:r>
    </w:p>
    <w:p>
      <w:pPr>
        <w:pStyle w:val="ListBullet"/>
        <w:keepLines w:val="1"/>
        <w:keepNext w:val="1"/>
        <w:widowControl w:val="1"/>
      </w:pPr>
      <w:r>
        <w:t xml:space="preserve">2–3 viñetas destacando hallazgos clave (por ejemplo, porcentaje con proceso formal).  </w:t>
      </w:r>
    </w:p>
    <w:p>
      <w:pPr>
        <w:pStyle w:val="ListBullet"/>
        <w:keepLines w:val="1"/>
        <w:widowControl w:val="1"/>
      </w:pPr>
      <w:r>
        <w:t>Mensaje para dirección: “¿Tenemos realmente un proceso o vamos a salto de proyecto?”</w:t>
      </w:r>
    </w:p>
    <w:p>
      <w:pPr>
        <w:pStyle w:val="Heading2"/>
        <w:keepNext/>
        <w:keepLines/>
      </w:pPr>
      <w:r>
        <w:rPr>
          <w:color w:val="0066CC"/>
        </w:rPr>
        <w:t>Diapositiva 7 – Riesgos, activos y trazabilidad (RISK)</w:t>
      </w:r>
    </w:p>
    <w:p>
      <w:pPr>
        <w:pStyle w:val="ListBullet"/>
        <w:keepLines w:val="1"/>
        <w:keepNext w:val="1"/>
        <w:widowControl w:val="1"/>
      </w:pPr>
      <w:r>
        <w:t xml:space="preserve">Gráfico (por ejemplo barras) sobre inventario de activos críticos y análisis de riesgos.  </w:t>
      </w:r>
    </w:p>
    <w:p>
      <w:pPr>
        <w:pStyle w:val="ListBullet"/>
        <w:keepLines w:val="1"/>
        <w:keepNext w:val="1"/>
        <w:widowControl w:val="1"/>
      </w:pPr>
      <w:r>
        <w:t xml:space="preserve">Comentarios sobre apetito de riesgo formalizado.  </w:t>
      </w:r>
    </w:p>
    <w:p>
      <w:pPr>
        <w:pStyle w:val="ListBullet"/>
        <w:keepLines w:val="1"/>
        <w:widowControl w:val="1"/>
      </w:pPr>
      <w:r>
        <w:t>Mensaje: “Sin mapa de riesgos, los requisitos son poesía”.</w:t>
      </w:r>
    </w:p>
    <w:p>
      <w:pPr>
        <w:pStyle w:val="Heading2"/>
        <w:keepNext/>
        <w:keepLines/>
      </w:pPr>
      <w:r>
        <w:rPr>
          <w:color w:val="0066CC"/>
        </w:rPr>
        <w:t>Diapositiva 8 – Cobertura y calidad de requisitos (REQ)</w:t>
      </w:r>
    </w:p>
    <w:p>
      <w:pPr>
        <w:pStyle w:val="ListBullet"/>
        <w:keepLines w:val="1"/>
        <w:keepNext w:val="1"/>
        <w:widowControl w:val="1"/>
      </w:pPr>
      <w:r>
        <w:t xml:space="preserve">Gráfico con cobertura de requisitos y calidad percibida.  </w:t>
      </w:r>
    </w:p>
    <w:p>
      <w:pPr>
        <w:pStyle w:val="ListBullet"/>
        <w:keepLines w:val="1"/>
        <w:keepNext w:val="1"/>
        <w:widowControl w:val="1"/>
      </w:pPr>
      <w:r>
        <w:t xml:space="preserve">Ejemplo de buenas prácticas (si las hay).  </w:t>
      </w:r>
    </w:p>
    <w:p>
      <w:pPr>
        <w:pStyle w:val="ListBullet"/>
        <w:keepLines w:val="1"/>
        <w:widowControl w:val="1"/>
      </w:pPr>
      <w:r>
        <w:t>Mensaje: “Un sistema sin requisitos de seguridad claros es un castillo de arena decorado”.</w:t>
      </w:r>
    </w:p>
    <w:p>
      <w:pPr>
        <w:pStyle w:val="Heading2"/>
        <w:keepNext/>
        <w:keepLines/>
      </w:pPr>
      <w:r>
        <w:rPr>
          <w:color w:val="0066CC"/>
        </w:rPr>
        <w:t>Diapositiva 9 – Métricas y mejora (MET)</w:t>
      </w:r>
    </w:p>
    <w:p>
      <w:pPr>
        <w:pStyle w:val="ListBullet"/>
        <w:keepLines w:val="1"/>
        <w:keepNext w:val="1"/>
        <w:widowControl w:val="1"/>
      </w:pPr>
      <w:r>
        <w:t xml:space="preserve">Gráfico sobre uso de métricas y cuadros de mando.  </w:t>
      </w:r>
    </w:p>
    <w:p>
      <w:pPr>
        <w:pStyle w:val="ListBullet"/>
        <w:keepLines w:val="1"/>
        <w:keepNext w:val="1"/>
        <w:widowControl w:val="1"/>
      </w:pPr>
      <w:r>
        <w:t xml:space="preserve">Comentario sobre conexión (o desconexión) entre requisitos e incidentes.  </w:t>
      </w:r>
    </w:p>
    <w:p>
      <w:pPr>
        <w:pStyle w:val="ListBullet"/>
        <w:keepLines w:val="1"/>
        <w:widowControl w:val="1"/>
      </w:pPr>
      <w:r>
        <w:t>Mensaje: “Lo que no se mide, se cuenta solo cuando sale en prensa”.</w:t>
      </w:r>
    </w:p>
    <w:p>
      <w:pPr>
        <w:pStyle w:val="Heading2"/>
        <w:keepNext/>
        <w:keepLines/>
      </w:pPr>
      <w:r>
        <w:rPr>
          <w:color w:val="0066CC"/>
        </w:rPr>
        <w:t>Diapositiva 10 – Capacidades y cultura (CAP)</w:t>
      </w:r>
    </w:p>
    <w:p>
      <w:pPr>
        <w:pStyle w:val="ListBullet"/>
        <w:keepLines w:val="1"/>
        <w:keepNext w:val="1"/>
        <w:widowControl w:val="1"/>
      </w:pPr>
      <w:r>
        <w:t xml:space="preserve">Resultados de P7.x y P9.x (formación, herramientas, barreras).  </w:t>
      </w:r>
    </w:p>
    <w:p>
      <w:pPr>
        <w:pStyle w:val="ListBullet"/>
        <w:keepLines w:val="1"/>
        <w:keepNext w:val="1"/>
        <w:widowControl w:val="1"/>
      </w:pPr>
      <w:r>
        <w:t xml:space="preserve">Cita representativa de respuestas abiertas (anonimizada).  </w:t>
      </w:r>
    </w:p>
    <w:p>
      <w:pPr>
        <w:pStyle w:val="ListBullet"/>
        <w:keepLines w:val="1"/>
        <w:widowControl w:val="1"/>
      </w:pPr>
      <w:r>
        <w:t>Mensaje: “La cultura se ve en cómo reaccionamos cuando falta tiempo”.</w:t>
      </w:r>
    </w:p>
    <w:p>
      <w:pPr>
        <w:pStyle w:val="Heading2"/>
        <w:keepNext/>
        <w:keepLines/>
      </w:pPr>
      <w:r>
        <w:rPr>
          <w:color w:val="0066CC"/>
        </w:rPr>
        <w:t>Diapositiva 11 – ROI y argumentos económicos</w:t>
      </w:r>
    </w:p>
    <w:p>
      <w:pPr>
        <w:pStyle w:val="ListBullet"/>
        <w:keepLines w:val="1"/>
        <w:keepNext w:val="1"/>
        <w:widowControl w:val="1"/>
      </w:pPr>
      <w:r>
        <w:t xml:space="preserve">Resumen del análisis ROI (si se ha realizado).  </w:t>
      </w:r>
    </w:p>
    <w:p>
      <w:pPr>
        <w:pStyle w:val="ListBullet"/>
        <w:keepLines w:val="1"/>
        <w:keepNext w:val="1"/>
        <w:widowControl w:val="1"/>
      </w:pPr>
      <w:r>
        <w:t xml:space="preserve">Gráfico sencillo (columnas) de costes vs. beneficios estimados.  </w:t>
      </w:r>
    </w:p>
    <w:p>
      <w:pPr>
        <w:pStyle w:val="ListBullet"/>
        <w:keepLines w:val="1"/>
        <w:widowControl w:val="1"/>
      </w:pPr>
      <w:r>
        <w:t>Mensaje: “Invertir en requisitos de seguridad es más barato que sostener incidentes y retrabajo”.</w:t>
      </w:r>
    </w:p>
    <w:p>
      <w:pPr>
        <w:pStyle w:val="Heading2"/>
        <w:keepNext/>
        <w:keepLines/>
      </w:pPr>
      <w:r>
        <w:rPr>
          <w:color w:val="0066CC"/>
        </w:rPr>
        <w:t>Diapositiva 12 – Comparativa sectorial / internacional (opcional)</w:t>
      </w:r>
    </w:p>
    <w:p>
      <w:pPr>
        <w:pStyle w:val="ListBullet"/>
        <w:keepLines w:val="1"/>
        <w:keepNext w:val="1"/>
        <w:widowControl w:val="1"/>
      </w:pPr>
      <w:r>
        <w:t xml:space="preserve">Gráfico comparando IGM por sectores o países (si hay datos).  </w:t>
      </w:r>
    </w:p>
    <w:p>
      <w:pPr>
        <w:pStyle w:val="ListBullet"/>
        <w:keepLines w:val="1"/>
        <w:keepNext w:val="1"/>
        <w:widowControl w:val="1"/>
      </w:pPr>
      <w:r>
        <w:t xml:space="preserve">Comentario: dónde se sitúa la organización o país respecto a referentes.  </w:t>
      </w:r>
    </w:p>
    <w:p>
      <w:pPr>
        <w:pStyle w:val="ListBullet"/>
        <w:keepLines w:val="1"/>
        <w:widowControl w:val="1"/>
      </w:pPr>
      <w:r>
        <w:t>Mensaje: “No se trata de ganar, sino de no quedarse peligrosamente atrás”.</w:t>
      </w:r>
    </w:p>
    <w:p>
      <w:pPr>
        <w:pStyle w:val="Heading2"/>
        <w:keepNext/>
        <w:keepLines/>
      </w:pPr>
      <w:r>
        <w:rPr>
          <w:color w:val="0066CC"/>
        </w:rPr>
        <w:t>Diapositiva 13 – Recomendaciones prioritarias</w:t>
      </w:r>
    </w:p>
    <w:p>
      <w:pPr>
        <w:pStyle w:val="ListBullet"/>
        <w:keepLines w:val="1"/>
        <w:keepNext w:val="1"/>
        <w:widowControl w:val="1"/>
      </w:pPr>
      <w:r>
        <w:t xml:space="preserve">3–5 recomendaciones clave:  </w:t>
      </w:r>
    </w:p>
    <w:p>
      <w:pPr>
        <w:pStyle w:val="ListBullet"/>
        <w:keepLines w:val="1"/>
        <w:keepNext w:val="1"/>
        <w:widowControl w:val="1"/>
      </w:pPr>
      <w:r>
        <w:t xml:space="preserve">Mejoras de proceso.  </w:t>
      </w:r>
    </w:p>
    <w:p>
      <w:pPr>
        <w:pStyle w:val="ListBullet"/>
        <w:keepLines w:val="1"/>
        <w:keepNext w:val="1"/>
        <w:widowControl w:val="1"/>
      </w:pPr>
      <w:r>
        <w:t xml:space="preserve">Refuerzo de capacidades.  </w:t>
      </w:r>
    </w:p>
    <w:p>
      <w:pPr>
        <w:pStyle w:val="ListBullet"/>
        <w:keepLines w:val="1"/>
        <w:keepNext w:val="1"/>
        <w:widowControl w:val="1"/>
      </w:pPr>
      <w:r>
        <w:t xml:space="preserve">Integración con normativa y métricas.  </w:t>
      </w:r>
    </w:p>
    <w:p>
      <w:pPr>
        <w:pStyle w:val="ListBullet"/>
        <w:keepLines w:val="1"/>
        <w:widowControl w:val="1"/>
      </w:pPr>
      <w:r>
        <w:t>Enfoque práctico: acciones a 6–12 meses.</w:t>
      </w:r>
    </w:p>
    <w:p>
      <w:pPr>
        <w:pStyle w:val="Heading2"/>
        <w:keepNext/>
        <w:keepLines/>
      </w:pPr>
      <w:r>
        <w:rPr>
          <w:color w:val="0066CC"/>
        </w:rPr>
        <w:t>Diapositiva 14 – Roadmap de mejora</w:t>
      </w:r>
    </w:p>
    <w:p>
      <w:pPr>
        <w:pStyle w:val="ListBullet"/>
        <w:keepLines w:val="1"/>
        <w:keepNext w:val="1"/>
        <w:widowControl w:val="1"/>
      </w:pPr>
      <w:r>
        <w:t xml:space="preserve">Línea temporal con fases (diagnóstico, diseño, implementación, revisión).  </w:t>
      </w:r>
    </w:p>
    <w:p>
      <w:pPr>
        <w:pStyle w:val="ListBullet"/>
        <w:keepLines w:val="1"/>
        <w:keepNext w:val="1"/>
        <w:widowControl w:val="1"/>
      </w:pPr>
      <w:r>
        <w:t xml:space="preserve">Hitos: adopción de SQUARE‑like, catálogo de requisitos, tablero de métricas, etc.  </w:t>
      </w:r>
    </w:p>
    <w:p>
      <w:pPr>
        <w:pStyle w:val="ListBullet"/>
        <w:keepLines w:val="1"/>
        <w:widowControl w:val="1"/>
      </w:pPr>
      <w:r>
        <w:t>Responsables aproximados.</w:t>
      </w:r>
    </w:p>
    <w:p>
      <w:pPr>
        <w:pStyle w:val="Heading2"/>
        <w:keepNext/>
        <w:keepLines/>
      </w:pPr>
      <w:r>
        <w:rPr>
          <w:color w:val="0066CC"/>
        </w:rPr>
        <w:t>Diapositiva 15 – Cierre y llamada a la acción</w:t>
      </w:r>
    </w:p>
    <w:p>
      <w:pPr>
        <w:pStyle w:val="ListBullet"/>
        <w:keepLines w:val="1"/>
        <w:keepNext w:val="1"/>
        <w:widowControl w:val="1"/>
      </w:pPr>
      <w:r>
        <w:t xml:space="preserve">Mensaje final: “La seguridad empieza en el requisito, no en el parche”.  </w:t>
      </w:r>
    </w:p>
    <w:p>
      <w:pPr>
        <w:pStyle w:val="ListBullet"/>
        <w:keepLines w:val="1"/>
        <w:keepNext w:val="1"/>
        <w:widowControl w:val="1"/>
      </w:pPr>
      <w:r>
        <w:t xml:space="preserve">Invitación a aprobar o impulsar el plan de mejora.  </w:t>
      </w:r>
    </w:p>
    <w:p>
      <w:pPr>
        <w:pStyle w:val="ListBullet"/>
        <w:keepLines w:val="1"/>
        <w:widowControl w:val="1"/>
      </w:pPr>
      <w:r>
        <w:t>Datos de contacto del equipo responsable.</w:t>
      </w:r>
    </w:p>
    <w:p>
      <w:r>
        <w:t>Esta plantilla puede adaptarse según el nivel de detalle y la paciencia del público.</w:t>
      </w:r>
      <w:r/>
      <w:r>
        <w:br/>
        <w:t>En caso de duda, priorice claridad, honestidad y una pizca de ironía amable.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