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para indicadores GQM + PRAGMATIC</w:t>
      </w:r>
    </w:p>
    <w:p>
      <w:pPr>
        <w:pStyle w:val="Heading2"/>
        <w:keepNext/>
        <w:keepLines/>
      </w:pPr>
      <w:r>
        <w:rPr>
          <w:color w:val="0066CC"/>
        </w:rPr>
        <w:t>Estructura sugerida en formato PowerPoint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SQUARE basados en GQM + PRAGMATIC – [Ámbito]”  </w:t>
      </w:r>
    </w:p>
    <w:p>
      <w:pPr>
        <w:pStyle w:val="ListBullet"/>
        <w:keepLines w:val="1"/>
        <w:keepNext w:val="1"/>
        <w:widowControl w:val="1"/>
      </w:pPr>
      <w:r>
        <w:t xml:space="preserve">Subtítulo: “De los objetivos a las métricas sin perder la dignidad”.  </w:t>
      </w:r>
    </w:p>
    <w:p>
      <w:pPr>
        <w:pStyle w:val="ListBullet"/>
        <w:keepLines w:val="1"/>
        <w:widowControl w:val="1"/>
      </w:pPr>
      <w:r>
        <w:t>Logos, fecha, ponente.</w:t>
      </w:r>
    </w:p>
    <w:p>
      <w:pPr>
        <w:pStyle w:val="Heading2"/>
        <w:keepNext/>
        <w:keepLines/>
      </w:pPr>
      <w:r>
        <w:rPr>
          <w:color w:val="0066CC"/>
        </w:rPr>
        <w:t>Diapositiva 2 – ¿Por qué otro marco de métricas?</w:t>
      </w:r>
    </w:p>
    <w:p>
      <w:pPr>
        <w:pStyle w:val="ListBullet"/>
        <w:keepLines w:val="1"/>
        <w:keepNext w:val="1"/>
        <w:widowControl w:val="1"/>
      </w:pPr>
      <w:r>
        <w:t xml:space="preserve">Problema: abundancia de indicadores poco útiles.  </w:t>
      </w:r>
    </w:p>
    <w:p>
      <w:pPr>
        <w:pStyle w:val="ListBullet"/>
        <w:keepLines w:val="1"/>
        <w:keepNext w:val="1"/>
        <w:widowControl w:val="1"/>
      </w:pPr>
      <w:r>
        <w:t xml:space="preserve">Necesidad: conectar objetivos nacionales, preguntas relevantes y métricas sólidas.  </w:t>
      </w:r>
    </w:p>
    <w:p>
      <w:pPr>
        <w:pStyle w:val="ListBullet"/>
        <w:keepLines w:val="1"/>
        <w:widowControl w:val="1"/>
      </w:pPr>
      <w:r>
        <w:t>Introducción de GQM + PRAGMATIC como respuesta.</w:t>
      </w:r>
    </w:p>
    <w:p>
      <w:pPr>
        <w:pStyle w:val="Heading2"/>
        <w:keepNext/>
        <w:keepLines/>
      </w:pPr>
      <w:r>
        <w:rPr>
          <w:color w:val="0066CC"/>
        </w:rPr>
        <w:t>Diapositiva 3 – Recordatorio SQUARE</w:t>
      </w:r>
    </w:p>
    <w:p>
      <w:pPr>
        <w:pStyle w:val="ListBullet"/>
        <w:keepLines w:val="1"/>
        <w:keepNext w:val="1"/>
        <w:widowControl w:val="1"/>
      </w:pPr>
      <w:r>
        <w:t xml:space="preserve">Breve recapitulación de SQUARE y su foco en requisitos de seguridad.  </w:t>
      </w:r>
    </w:p>
    <w:p>
      <w:pPr>
        <w:pStyle w:val="ListBullet"/>
        <w:keepLines w:val="1"/>
        <w:widowControl w:val="1"/>
      </w:pPr>
      <w:r>
        <w:t>Relación entre SQUARE y las métricas de madurez, alineamiento y valor económico.</w:t>
      </w:r>
    </w:p>
    <w:p>
      <w:pPr>
        <w:pStyle w:val="Heading2"/>
        <w:keepNext/>
        <w:keepLines/>
      </w:pPr>
      <w:r>
        <w:rPr>
          <w:color w:val="0066CC"/>
        </w:rPr>
        <w:t>Diapositiva 4 – GQM en una lámina</w:t>
      </w:r>
    </w:p>
    <w:p>
      <w:pPr>
        <w:pStyle w:val="ListBullet"/>
        <w:keepLines w:val="1"/>
        <w:keepNext w:val="1"/>
        <w:widowControl w:val="1"/>
      </w:pPr>
      <w:r>
        <w:t xml:space="preserve">Esquema: Objetivo → Pregunta → Métrica.  </w:t>
      </w:r>
    </w:p>
    <w:p>
      <w:pPr>
        <w:pStyle w:val="ListBullet"/>
        <w:keepLines w:val="1"/>
        <w:widowControl w:val="1"/>
      </w:pPr>
      <w:r>
        <w:t>Ejemplo: G1 (madurez de requisitos) → “¿Cuántas funciones críticas tienen requisitos?” → M1.1.</w:t>
      </w:r>
    </w:p>
    <w:p>
      <w:pPr>
        <w:pStyle w:val="Heading2"/>
        <w:keepNext/>
        <w:keepLines/>
      </w:pPr>
      <w:r>
        <w:rPr>
          <w:color w:val="0066CC"/>
        </w:rPr>
        <w:t>Diapositiva 5 – PRAGMATIC en una lámina</w:t>
      </w:r>
    </w:p>
    <w:p>
      <w:pPr>
        <w:pStyle w:val="ListBullet"/>
        <w:keepLines w:val="1"/>
        <w:keepNext w:val="1"/>
        <w:widowControl w:val="1"/>
      </w:pPr>
      <w:r>
        <w:t xml:space="preserve">Lista breve de criterios (Predictivo, Relevante, etc.).  </w:t>
      </w:r>
    </w:p>
    <w:p>
      <w:pPr>
        <w:pStyle w:val="ListBullet"/>
        <w:keepLines w:val="1"/>
        <w:widowControl w:val="1"/>
      </w:pPr>
      <w:r>
        <w:t>Mensaje: “No toda métrica merece sobrevivir al filtro PRAGMATIC”.</w:t>
      </w:r>
    </w:p>
    <w:p>
      <w:pPr>
        <w:pStyle w:val="Heading2"/>
        <w:keepNext/>
        <w:keepLines/>
      </w:pPr>
      <w:r>
        <w:rPr>
          <w:color w:val="0066CC"/>
        </w:rPr>
        <w:t>Diapositiva 6 – Mapa de objetivos GQM</w:t>
      </w:r>
    </w:p>
    <w:p>
      <w:pPr>
        <w:pStyle w:val="ListBullet"/>
        <w:keepLines w:val="1"/>
        <w:keepNext w:val="1"/>
        <w:widowControl w:val="1"/>
      </w:pPr>
      <w:r>
        <w:t xml:space="preserve">Gráfico o tabla con G1, G2, G3 y sus principales preguntas.  </w:t>
      </w:r>
    </w:p>
    <w:p>
      <w:pPr>
        <w:pStyle w:val="ListBullet"/>
        <w:keepLines w:val="1"/>
        <w:widowControl w:val="1"/>
      </w:pPr>
      <w:r>
        <w:t>Conexión con objetivos de la Estrategia Nacional, NIS2, ENS.</w:t>
      </w:r>
    </w:p>
    <w:p>
      <w:pPr>
        <w:pStyle w:val="Heading2"/>
        <w:keepNext/>
        <w:keepLines/>
      </w:pPr>
      <w:r>
        <w:rPr>
          <w:color w:val="0066CC"/>
        </w:rPr>
        <w:t>Diapositiva 7 – Métricas núcleo seleccionadas</w:t>
      </w:r>
    </w:p>
    <w:p>
      <w:pPr>
        <w:pStyle w:val="ListBullet"/>
        <w:keepLines w:val="1"/>
        <w:keepNext w:val="1"/>
        <w:widowControl w:val="1"/>
      </w:pPr>
      <w:r>
        <w:t xml:space="preserve">Tabla con las métricas núcleo (M1.1, M1.2, M1.3, M2.1, M2.2, M3.1, M3.6).  </w:t>
      </w:r>
    </w:p>
    <w:p>
      <w:pPr>
        <w:pStyle w:val="ListBullet"/>
        <w:keepLines w:val="1"/>
        <w:keepNext w:val="1"/>
        <w:widowControl w:val="1"/>
      </w:pPr>
      <w:r>
        <w:t xml:space="preserve">Puntuación PRAGMATIC resumida (por ejemplo, barras 0–18).  </w:t>
      </w:r>
    </w:p>
    <w:p>
      <w:pPr>
        <w:pStyle w:val="ListBullet"/>
        <w:keepLines w:val="1"/>
        <w:widowControl w:val="1"/>
      </w:pPr>
      <w:r>
        <w:t>Mensaje: “Estas son las que realmente queremos en el cuadro de mando”.</w:t>
      </w:r>
    </w:p>
    <w:p>
      <w:pPr>
        <w:pStyle w:val="Heading2"/>
        <w:keepNext/>
        <w:keepLines/>
      </w:pPr>
      <w:r>
        <w:rPr>
          <w:color w:val="0066CC"/>
        </w:rPr>
        <w:t>Diapositiva 8 – IGM y dimensiones</w:t>
      </w:r>
    </w:p>
    <w:p>
      <w:pPr>
        <w:pStyle w:val="ListBullet"/>
        <w:keepLines w:val="1"/>
        <w:keepNext w:val="1"/>
        <w:widowControl w:val="1"/>
      </w:pPr>
      <w:r>
        <w:t xml:space="preserve">Gráfico radar (GOV, RISK, REQ, MET, CAP).  </w:t>
      </w:r>
    </w:p>
    <w:p>
      <w:pPr>
        <w:pStyle w:val="ListBullet"/>
        <w:keepLines w:val="1"/>
        <w:keepNext w:val="1"/>
        <w:widowControl w:val="1"/>
      </w:pPr>
      <w:r>
        <w:t xml:space="preserve">Relación con métricas SQUARE subyacentes.  </w:t>
      </w:r>
    </w:p>
    <w:p>
      <w:pPr>
        <w:pStyle w:val="ListBullet"/>
        <w:keepLines w:val="1"/>
        <w:widowControl w:val="1"/>
      </w:pPr>
      <w:r>
        <w:t>Mensaje: “Madurez de proceso vista de un vistazo”.</w:t>
      </w:r>
    </w:p>
    <w:p>
      <w:pPr>
        <w:pStyle w:val="Heading2"/>
        <w:keepNext/>
        <w:keepLines/>
      </w:pPr>
      <w:r>
        <w:rPr>
          <w:color w:val="0066CC"/>
        </w:rPr>
        <w:t>Diapositiva 9 – Coste y ROI</w:t>
      </w:r>
    </w:p>
    <w:p>
      <w:pPr>
        <w:pStyle w:val="ListBullet"/>
        <w:keepLines w:val="1"/>
        <w:keepNext w:val="1"/>
        <w:widowControl w:val="1"/>
      </w:pPr>
      <w:r>
        <w:t xml:space="preserve">Gráfico columnas con M3.1 (coste) y M3.5 (ROI) por organización o sector.  </w:t>
      </w:r>
    </w:p>
    <w:p>
      <w:pPr>
        <w:pStyle w:val="ListBullet"/>
        <w:keepLines w:val="1"/>
        <w:keepNext w:val="1"/>
        <w:widowControl w:val="1"/>
      </w:pPr>
      <w:r>
        <w:t xml:space="preserve">Nota sobre la naturaleza estimada de los beneficios.  </w:t>
      </w:r>
    </w:p>
    <w:p>
      <w:pPr>
        <w:pStyle w:val="ListBullet"/>
        <w:keepLines w:val="1"/>
        <w:widowControl w:val="1"/>
      </w:pPr>
      <w:r>
        <w:t>Mensaje: “Invertir en requisitos de seguridad no es un salto de fe”.</w:t>
      </w:r>
    </w:p>
    <w:p>
      <w:pPr>
        <w:pStyle w:val="Heading2"/>
        <w:keepNext/>
        <w:keepLines/>
      </w:pPr>
      <w:r>
        <w:rPr>
          <w:color w:val="0066CC"/>
        </w:rPr>
        <w:t>Diapositiva 10 – Correlación IGM–resultados</w:t>
      </w:r>
    </w:p>
    <w:p>
      <w:pPr>
        <w:pStyle w:val="ListBullet"/>
        <w:keepLines w:val="1"/>
        <w:keepNext w:val="1"/>
        <w:widowControl w:val="1"/>
      </w:pPr>
      <w:r>
        <w:t xml:space="preserve">Diagrama de dispersión IGM vs. incidentes/sanciones (M3.6).  </w:t>
      </w:r>
    </w:p>
    <w:p>
      <w:pPr>
        <w:pStyle w:val="ListBullet"/>
        <w:keepLines w:val="1"/>
        <w:keepNext w:val="1"/>
        <w:widowControl w:val="1"/>
      </w:pPr>
      <w:r>
        <w:t xml:space="preserve">Interpretación: tendencias, clusters, outliers.  </w:t>
      </w:r>
    </w:p>
    <w:p>
      <w:pPr>
        <w:pStyle w:val="ListBullet"/>
        <w:keepLines w:val="1"/>
        <w:widowControl w:val="1"/>
      </w:pPr>
      <w:r>
        <w:t>Mensaje: “La madurez de requisitos no es decorativa”.</w:t>
      </w:r>
    </w:p>
    <w:p>
      <w:pPr>
        <w:pStyle w:val="Heading2"/>
        <w:keepNext/>
        <w:keepLines/>
      </w:pPr>
      <w:r>
        <w:rPr>
          <w:color w:val="0066CC"/>
        </w:rPr>
        <w:t>Diapositiva 11 – Traducción política</w:t>
      </w:r>
    </w:p>
    <w:p>
      <w:pPr>
        <w:pStyle w:val="ListBullet"/>
        <w:keepLines w:val="1"/>
        <w:keepNext w:val="1"/>
        <w:widowControl w:val="1"/>
      </w:pPr>
      <w:r>
        <w:t xml:space="preserve">Viñetas que conectan resultados con decisiones de política o de dirección:  </w:t>
      </w:r>
    </w:p>
    <w:p>
      <w:pPr>
        <w:pStyle w:val="ListBullet"/>
        <w:keepLines w:val="1"/>
        <w:keepNext w:val="1"/>
        <w:widowControl w:val="1"/>
      </w:pPr>
      <w:r>
        <w:t xml:space="preserve">Revisar marcos de requisitos en sectores con baja cobertura.  </w:t>
      </w:r>
    </w:p>
    <w:p>
      <w:pPr>
        <w:pStyle w:val="ListBullet"/>
        <w:keepLines w:val="1"/>
        <w:keepNext w:val="1"/>
        <w:widowControl w:val="1"/>
      </w:pPr>
      <w:r>
        <w:t xml:space="preserve">Incentivar el uso de SQUARE‑like en proyectos financiados públicamente.  </w:t>
      </w:r>
    </w:p>
    <w:p>
      <w:pPr>
        <w:pStyle w:val="ListBullet"/>
        <w:keepLines w:val="1"/>
        <w:widowControl w:val="1"/>
      </w:pPr>
      <w:r>
        <w:t>Priorizar programas de capacitación en ingeniería de requisitos.</w:t>
      </w:r>
    </w:p>
    <w:p>
      <w:pPr>
        <w:pStyle w:val="Heading2"/>
        <w:keepNext/>
        <w:keepLines/>
      </w:pPr>
      <w:r>
        <w:rPr>
          <w:color w:val="0066CC"/>
        </w:rPr>
        <w:t>Diapositiva 12 – Roadmap de implantación</w:t>
      </w:r>
    </w:p>
    <w:p>
      <w:pPr>
        <w:pStyle w:val="ListBullet"/>
        <w:keepLines w:val="1"/>
        <w:keepNext w:val="1"/>
        <w:widowControl w:val="1"/>
      </w:pPr>
      <w:r>
        <w:t xml:space="preserve">Fases: diseño del marco, piloto, despliegue, revisión, iteración.  </w:t>
      </w:r>
    </w:p>
    <w:p>
      <w:pPr>
        <w:pStyle w:val="ListBullet"/>
        <w:keepLines w:val="1"/>
        <w:keepNext w:val="1"/>
        <w:widowControl w:val="1"/>
      </w:pPr>
      <w:r>
        <w:t xml:space="preserve">Puntos de control: revisión PRAGMATIC de métricas, ajuste de objetivos GQM.  </w:t>
      </w:r>
    </w:p>
    <w:p>
      <w:pPr>
        <w:pStyle w:val="ListBullet"/>
        <w:keepLines w:val="1"/>
        <w:widowControl w:val="1"/>
      </w:pPr>
      <w:r>
        <w:t>Responsables y apoyos necesarios.</w:t>
      </w:r>
    </w:p>
    <w:p>
      <w:pPr>
        <w:pStyle w:val="Heading2"/>
        <w:keepNext/>
        <w:keepLines/>
      </w:pPr>
      <w:r>
        <w:rPr>
          <w:color w:val="0066CC"/>
        </w:rPr>
        <w:t>Diapositiva 13 – Riesgos si no se actúa</w:t>
      </w:r>
    </w:p>
    <w:p>
      <w:pPr>
        <w:pStyle w:val="ListBullet"/>
        <w:keepLines w:val="1"/>
        <w:keepNext w:val="1"/>
        <w:widowControl w:val="1"/>
      </w:pPr>
      <w:r>
        <w:t xml:space="preserve">Breve lista:  </w:t>
      </w:r>
    </w:p>
    <w:p>
      <w:pPr>
        <w:pStyle w:val="ListBullet"/>
        <w:keepLines w:val="1"/>
        <w:keepNext w:val="1"/>
        <w:widowControl w:val="1"/>
      </w:pPr>
      <w:r>
        <w:t xml:space="preserve">Persistencia de incidentes evitables.  </w:t>
      </w:r>
    </w:p>
    <w:p>
      <w:pPr>
        <w:pStyle w:val="ListBullet"/>
        <w:keepLines w:val="1"/>
        <w:keepNext w:val="1"/>
        <w:widowControl w:val="1"/>
      </w:pPr>
      <w:r>
        <w:t xml:space="preserve">Desalineamiento entre normativa y realidad.  </w:t>
      </w:r>
    </w:p>
    <w:p>
      <w:pPr>
        <w:pStyle w:val="ListBullet"/>
        <w:keepLines w:val="1"/>
        <w:widowControl w:val="1"/>
      </w:pPr>
      <w:r>
        <w:t>“Teatro” de seguridad en lugar de mejora sustantiva.</w:t>
      </w:r>
    </w:p>
    <w:p>
      <w:pPr>
        <w:pStyle w:val="Heading2"/>
        <w:keepNext/>
        <w:keepLines/>
      </w:pPr>
      <w:r>
        <w:rPr>
          <w:color w:val="0066CC"/>
        </w:rPr>
        <w:t>Diapositiva 14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final: “Los requisitos de seguridad son la literatura fundacional del sistema; el marco GQM + PRAGMATIC solo ayuda a leerla con ojos numéricos”.  </w:t>
      </w:r>
    </w:p>
    <w:p>
      <w:pPr>
        <w:pStyle w:val="ListBullet"/>
        <w:keepLines w:val="1"/>
        <w:widowControl w:val="1"/>
      </w:pPr>
      <w:r>
        <w:t>Invitación a aprobar siguientes pasos.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