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del Kit de Encuesta SQUARE</w:t>
      </w:r>
    </w:p>
    <w:p>
      <w:pPr>
        <w:pStyle w:val="Heading2"/>
        <w:keepNext/>
        <w:keepLines/>
      </w:pPr>
      <w:r>
        <w:rPr>
          <w:color w:val="0066CC"/>
        </w:rPr>
        <w:t>Versión 1.0 – Uso y contenidos</w:t>
      </w:r>
    </w:p>
    <w:p>
      <w:r>
        <w:t>Bienvenido al kit SQUARE de encuesta sobre requisitos de seguridad.</w:t>
      </w:r>
      <w:r/>
      <w:r>
        <w:br/>
        <w:t>Si está leyendo esto, probablemente ha aceptado que “seguro” no se define solo en los PowerPoint.</w:t>
      </w:r>
    </w:p>
    <w:p>
      <w:pPr>
        <w:pStyle w:val="Heading2"/>
        <w:keepNext/>
        <w:keepLines/>
      </w:pPr>
      <w:r>
        <w:rPr>
          <w:color w:val="0066CC"/>
        </w:rPr>
        <w:t>1. ¿Qué incluye este kit?</w:t>
      </w:r>
    </w:p>
    <w:p>
      <w:pPr>
        <w:pStyle w:val="ListNumber"/>
        <w:keepLines w:val="1"/>
        <w:keepNext w:val="1"/>
        <w:widowControl w:val="1"/>
      </w:pPr>
      <w:r>
        <w:br/>
        <w:t>Modelo de encuesta integral (encuesta_square.md)</w:t>
        <w:br/>
        <w:t xml:space="preserve">   El cuestionario completo para aplicar en organizaciones, con preguntas cerradas y abiertas, organizado por bloques temáticos.</w:t>
        <w:br/>
      </w:r>
    </w:p>
    <w:p>
      <w:pPr>
        <w:pStyle w:val="ListNumber"/>
        <w:keepLines w:val="1"/>
        <w:keepNext w:val="1"/>
        <w:widowControl w:val="1"/>
      </w:pPr>
      <w:r>
        <w:br/>
        <w:t>Guía metodológica (guia_metodologica_square.md)</w:t>
        <w:br/>
        <w:t xml:space="preserve">   Instrucciones para aplicar la encuesta, codificar respuestas y calcular el Índice Global de Madurez (IGM) y estimaciones de ROI.</w:t>
        <w:br/>
      </w:r>
    </w:p>
    <w:p>
      <w:pPr>
        <w:pStyle w:val="ListNumber"/>
        <w:keepLines w:val="1"/>
        <w:keepNext w:val="1"/>
        <w:widowControl w:val="1"/>
      </w:pPr>
      <w:r>
        <w:br/>
        <w:t>Narrativa explicativa (narrativa_square.md)</w:t>
        <w:br/>
        <w:t xml:space="preserve">   Contexto, argumentos y relato para explicar a terceros por qué esta encuesta existe y para qué sirve.</w:t>
        <w:br/>
      </w:r>
    </w:p>
    <w:p>
      <w:pPr>
        <w:pStyle w:val="ListNumber"/>
        <w:keepLines w:val="1"/>
        <w:keepNext w:val="1"/>
        <w:widowControl w:val="1"/>
      </w:pPr>
      <w:r>
        <w:br/>
        <w:t>Mapeo normativo (mapeo_preguntas_normativa_square.md)</w:t>
        <w:br/>
        <w:t xml:space="preserve">   Tabla que relaciona cada bloque de preguntas con referencias normativas y marcos de referencia (NIS2, ENS, ISO, ENISA, etc.).</w:t>
        <w:br/>
      </w:r>
    </w:p>
    <w:p>
      <w:pPr>
        <w:pStyle w:val="ListNumber"/>
        <w:keepLines w:val="1"/>
        <w:keepNext w:val="1"/>
        <w:widowControl w:val="1"/>
      </w:pPr>
      <w:r>
        <w:br/>
        <w:t>Plantilla de Excel (especificación) (plantilla_excel_igm_roi_square.md)</w:t>
        <w:br/>
        <w:t xml:space="preserve">   Descripción detallada para que se construya un libro Excel capaz de calcular IGM y ROI a partir de las respuestas.</w:t>
        <w:br/>
      </w:r>
    </w:p>
    <w:p>
      <w:pPr>
        <w:pStyle w:val="ListNumber"/>
        <w:keepLines w:val="1"/>
        <w:widowControl w:val="1"/>
      </w:pPr>
      <w:r>
        <w:br/>
        <w:t>Plantilla de reporte ejecutivo (plantilla_reporte_ejecutivo_square.md)</w:t>
        <w:br/>
        <w:t xml:space="preserve">   Esquema de presentación (formato PowerPoint) para llevar los resultados a comités de dirección, consejos o foros sectoriales.</w:t>
        <w:br/>
      </w:r>
    </w:p>
    <w:p>
      <w:r>
        <w:rPr>
          <w:b/>
        </w:rPr>
        <w:t>Modelo de encuesta integral</w:t>
      </w:r>
      <w:r>
        <w:t xml:space="preserve"> (</w:t>
      </w:r>
      <w:r>
        <w:rPr>
          <w:rFonts w:ascii="Courier New" w:hAnsi="Courier New"/>
          <w:sz w:val="18"/>
        </w:rPr>
        <w:t>encuesta_square.md</w:t>
      </w:r>
      <w:r>
        <w:t>)</w:t>
      </w:r>
      <w:r/>
      <w:r>
        <w:br/>
        <w:t xml:space="preserve">   El cuestionario completo para aplicar en organizaciones, con preguntas cerradas y abiertas, organizado por bloques temáticos.</w:t>
      </w:r>
    </w:p>
    <w:p>
      <w:r>
        <w:rPr>
          <w:b/>
        </w:rPr>
        <w:t>Guía metodológica</w:t>
      </w:r>
      <w:r>
        <w:t xml:space="preserve"> (</w:t>
      </w:r>
      <w:r>
        <w:rPr>
          <w:rFonts w:ascii="Courier New" w:hAnsi="Courier New"/>
          <w:sz w:val="18"/>
        </w:rPr>
        <w:t>guia_metodologica_square.md</w:t>
      </w:r>
      <w:r>
        <w:t>)</w:t>
      </w:r>
      <w:r/>
      <w:r>
        <w:br/>
        <w:t xml:space="preserve">   Instrucciones para aplicar la encuesta, codificar respuestas y calcular el Índice Global de Madurez (IGM) y estimaciones de ROI.</w:t>
      </w:r>
    </w:p>
    <w:p>
      <w:r>
        <w:rPr>
          <w:b/>
        </w:rPr>
        <w:t>Narrativa explicativa</w:t>
      </w:r>
      <w:r>
        <w:t xml:space="preserve"> (</w:t>
      </w:r>
      <w:r>
        <w:rPr>
          <w:rFonts w:ascii="Courier New" w:hAnsi="Courier New"/>
          <w:sz w:val="18"/>
        </w:rPr>
        <w:t>narrativa_square.md</w:t>
      </w:r>
      <w:r>
        <w:t>)</w:t>
      </w:r>
      <w:r/>
      <w:r>
        <w:br/>
        <w:t xml:space="preserve">   Contexto, argumentos y relato para explicar a terceros por qué esta encuesta existe y para qué sirve.</w:t>
      </w:r>
    </w:p>
    <w:p>
      <w:r>
        <w:rPr>
          <w:b/>
        </w:rPr>
        <w:t>Mapeo normativo</w:t>
      </w:r>
      <w:r>
        <w:t xml:space="preserve"> (</w:t>
      </w:r>
      <w:r>
        <w:rPr>
          <w:rFonts w:ascii="Courier New" w:hAnsi="Courier New"/>
          <w:sz w:val="18"/>
        </w:rPr>
        <w:t>mapeo_preguntas_normativa_square.md</w:t>
      </w:r>
      <w:r>
        <w:t>)</w:t>
      </w:r>
      <w:r/>
      <w:r>
        <w:br/>
        <w:t xml:space="preserve">   Tabla que relaciona cada bloque de preguntas con referencias normativas y marcos de referencia (NIS2, ENS, ISO, ENISA, etc.).</w:t>
      </w:r>
    </w:p>
    <w:p>
      <w:r>
        <w:rPr>
          <w:b/>
        </w:rPr>
        <w:t>Plantilla de Excel (especificación)</w:t>
      </w:r>
      <w:r>
        <w:t xml:space="preserve"> (</w:t>
      </w:r>
      <w:r>
        <w:rPr>
          <w:rFonts w:ascii="Courier New" w:hAnsi="Courier New"/>
          <w:sz w:val="18"/>
        </w:rPr>
        <w:t>plantilla_excel_igm_roi_square.md</w:t>
      </w:r>
      <w:r>
        <w:t>)</w:t>
      </w:r>
      <w:r/>
      <w:r>
        <w:br/>
        <w:t xml:space="preserve">   Descripción detallada para que se construya un libro Excel capaz de calcular IGM y ROI a partir de las respuestas.</w:t>
      </w:r>
    </w:p>
    <w:p>
      <w:r>
        <w:rPr>
          <w:b/>
        </w:rPr>
        <w:t>Plantilla de reporte ejecutivo</w:t>
      </w:r>
      <w:r>
        <w:t xml:space="preserve"> (</w:t>
      </w:r>
      <w:r>
        <w:rPr>
          <w:rFonts w:ascii="Courier New" w:hAnsi="Courier New"/>
          <w:sz w:val="18"/>
        </w:rPr>
        <w:t>plantilla_reporte_ejecutivo_square.md</w:t>
      </w:r>
      <w:r>
        <w:t>)</w:t>
      </w:r>
      <w:r/>
      <w:r>
        <w:br/>
        <w:t xml:space="preserve">   Esquema de presentación (formato PowerPoint) para llevar los resultados a comités de dirección, consejos o foros sectoriales.</w:t>
      </w:r>
    </w:p>
    <w:p>
      <w:pPr>
        <w:pStyle w:val="Heading2"/>
        <w:keepNext/>
        <w:keepLines/>
      </w:pPr>
      <w:r>
        <w:rPr>
          <w:color w:val="0066CC"/>
        </w:rPr>
        <w:t>2. Cómo empezar</w:t>
      </w:r>
    </w:p>
    <w:p>
      <w:pPr>
        <w:pStyle w:val="ListNumber"/>
        <w:keepLines w:val="1"/>
        <w:keepNext w:val="1"/>
        <w:widowControl w:val="1"/>
      </w:pPr>
      <w:r>
        <w:t xml:space="preserve">Adapte el modelo de encuesta a su contexto (sector, tamaño, normativa específica).  </w:t>
      </w:r>
    </w:p>
    <w:p>
      <w:pPr>
        <w:pStyle w:val="ListNumber"/>
        <w:keepLines w:val="1"/>
        <w:keepNext w:val="1"/>
        <w:widowControl w:val="1"/>
      </w:pPr>
      <w:r>
        <w:t xml:space="preserve">Implemente la plantilla Excel siguiendo la especificación, o construya un panel equivalente en otra herramienta.  </w:t>
      </w:r>
    </w:p>
    <w:p>
      <w:pPr>
        <w:pStyle w:val="ListNumber"/>
        <w:keepLines w:val="1"/>
        <w:keepNext w:val="1"/>
        <w:widowControl w:val="1"/>
      </w:pPr>
      <w:r>
        <w:t xml:space="preserve">Realice una prueba piloto con un pequeño grupo de organizaciones voluntarias o unidades internas.  </w:t>
      </w:r>
    </w:p>
    <w:p>
      <w:pPr>
        <w:pStyle w:val="ListNumber"/>
        <w:keepLines w:val="1"/>
        <w:keepNext w:val="1"/>
        <w:widowControl w:val="1"/>
      </w:pPr>
      <w:r>
        <w:t xml:space="preserve">Ajuste las preguntas y codificación según las lecciones del piloto.  </w:t>
      </w:r>
    </w:p>
    <w:p>
      <w:pPr>
        <w:pStyle w:val="ListNumber"/>
        <w:keepLines w:val="1"/>
        <w:widowControl w:val="1"/>
      </w:pPr>
      <w:r>
        <w:t>Lance la encuesta formal con un calendario claro y un compromiso de devolución de resultados agregados.</w:t>
      </w:r>
    </w:p>
    <w:p>
      <w:pPr>
        <w:pStyle w:val="Heading2"/>
        <w:keepNext/>
        <w:keepLines/>
      </w:pPr>
      <w:r>
        <w:rPr>
          <w:color w:val="0066CC"/>
        </w:rPr>
        <w:t>3. Niveles de uso</w:t>
      </w:r>
    </w:p>
    <w:p>
      <w:r>
        <w:t>Puede usar este kit de varias maneras:</w:t>
      </w:r>
    </w:p>
    <w:p>
      <w:pPr>
        <w:pStyle w:val="ListBullet"/>
        <w:keepLines w:val="1"/>
        <w:keepNext w:val="1"/>
        <w:widowControl w:val="1"/>
      </w:pPr>
      <w:r>
        <w:t xml:space="preserve">Internamente en una sola organización, para diagnosticar la madurez de sus sistemas críticos.  </w:t>
      </w:r>
    </w:p>
    <w:p>
      <w:pPr>
        <w:pStyle w:val="ListBullet"/>
        <w:keepLines w:val="1"/>
        <w:keepNext w:val="1"/>
        <w:widowControl w:val="1"/>
      </w:pPr>
      <w:r>
        <w:t xml:space="preserve">Sectorialmente, coordinado por un regulador o asociación empresarial.  </w:t>
      </w:r>
    </w:p>
    <w:p>
      <w:pPr>
        <w:pStyle w:val="ListBullet"/>
        <w:keepLines w:val="1"/>
        <w:widowControl w:val="1"/>
      </w:pPr>
      <w:r>
        <w:t>A nivel nacional, como parte de una estrategia de ciberseguridad o de evaluación periódica.</w:t>
      </w:r>
    </w:p>
    <w:p>
      <w:r>
        <w:t>En todos los casos, la recomendación es preservar el anonimato en análisis agregados y compartir resultados comparativos de manera responsable.</w:t>
      </w:r>
    </w:p>
    <w:p>
      <w:pPr>
        <w:pStyle w:val="Heading2"/>
        <w:keepNext/>
        <w:keepLines/>
      </w:pPr>
      <w:r>
        <w:rPr>
          <w:color w:val="0066CC"/>
        </w:rPr>
        <w:t>4. Buenas prácticas de implementación</w:t>
      </w:r>
    </w:p>
    <w:p>
      <w:pPr>
        <w:pStyle w:val="ListBullet"/>
        <w:keepLines w:val="1"/>
        <w:keepNext w:val="1"/>
        <w:widowControl w:val="1"/>
      </w:pPr>
      <w:r>
        <w:t xml:space="preserve">No convierta la encuesta en un examen de culpabilidad: preséntela como herramienta de mejora.  </w:t>
      </w:r>
    </w:p>
    <w:p>
      <w:pPr>
        <w:pStyle w:val="ListBullet"/>
        <w:keepLines w:val="1"/>
        <w:keepNext w:val="1"/>
        <w:widowControl w:val="1"/>
      </w:pPr>
      <w:r>
        <w:t xml:space="preserve">Reserve tiempo para explicar resultados, no solo para recolectar respuestas.  </w:t>
      </w:r>
    </w:p>
    <w:p>
      <w:pPr>
        <w:pStyle w:val="ListBullet"/>
        <w:keepLines w:val="1"/>
        <w:keepNext w:val="1"/>
        <w:widowControl w:val="1"/>
      </w:pPr>
      <w:r>
        <w:t xml:space="preserve">Involucre a múltiples perfiles (no solo seguridad) en la cumplimentación.  </w:t>
      </w:r>
    </w:p>
    <w:p>
      <w:pPr>
        <w:pStyle w:val="ListBullet"/>
        <w:keepLines w:val="1"/>
        <w:keepNext w:val="1"/>
        <w:widowControl w:val="1"/>
      </w:pPr>
      <w:r>
        <w:t xml:space="preserve">Combine los resultados con datos objetivos (incidentes, auditorías, métricas operativas).  </w:t>
      </w:r>
    </w:p>
    <w:p>
      <w:pPr>
        <w:pStyle w:val="ListBullet"/>
        <w:keepLines w:val="1"/>
        <w:widowControl w:val="1"/>
      </w:pPr>
      <w:r>
        <w:t>Repita el ejercicio de forma periódica para medir progreso.</w:t>
      </w:r>
    </w:p>
    <w:p>
      <w:pPr>
        <w:pStyle w:val="Heading2"/>
        <w:keepNext/>
        <w:keepLines/>
      </w:pPr>
      <w:r>
        <w:rPr>
          <w:color w:val="0066CC"/>
        </w:rPr>
        <w:t>5. Licencia de uso intelectual (no apta para abogados estrictos)</w:t>
      </w:r>
    </w:p>
    <w:p>
      <w:r>
        <w:t>Puede adaptar, ampliar y criticar este kit a discreción, siempre que mantenga el espíritu:</w:t>
      </w:r>
      <w:r/>
      <w:r>
        <w:br/>
        <w:t>- Promover una ingeniería de requisitos de seguridad más madura y medible.</w:t>
      </w:r>
      <w:r/>
      <w:r>
        <w:br/>
        <w:t>- Favorecer la transparencia y la mejora continua.</w:t>
      </w:r>
      <w:r/>
      <w:r>
        <w:br/>
        <w:t>- Evitar la tentación de usar los resultados solo para señalar con el dedo.</w:t>
      </w:r>
    </w:p>
    <w:p>
      <w:pPr>
        <w:pStyle w:val="Heading2"/>
        <w:keepNext/>
        <w:keepLines/>
      </w:pPr>
      <w:r>
        <w:rPr>
          <w:color w:val="0066CC"/>
        </w:rPr>
        <w:t>6. Contacto y contribuciones</w:t>
      </w:r>
    </w:p>
    <w:p>
      <w:r>
        <w:t>Si descubre mejoras, nuevos indicadores o formas más elegantes de capturar la realidad, compártalas con su comunidad profesional.</w:t>
      </w:r>
      <w:r/>
      <w:r>
        <w:br/>
        <w:t>La ingeniería de requisitos de seguridad es un deporte de equipo; este kit no pretende ser dogma, sino punto de partida.</w:t>
      </w:r>
    </w:p>
    <w:p>
      <w:r>
        <w:t>Feliz encuesta. Que las respuestas sean sinceras, los indicadores útiles</w:t>
      </w:r>
      <w:r/>
      <w:r>
        <w:br/>
        <w:t>y los requisitos, por fin, algo más que notas al pie en los contratos.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