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SQUARE a requisitos normativos y marcos de referencia</w:t>
      </w:r>
    </w:p>
    <w:p>
      <w:r>
        <w:t>Nota: este mapeo es indicativo y orientativo.</w:t>
      </w:r>
      <w:r/>
      <w:r>
        <w:br/>
        <w:t>Cada sector puede requerir ajustes específicos según normativa detallada.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 / marcos relevantes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mapeo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P0.x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básicos organización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 para segmentar resultados, sin mapeo normativo directo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P1.1–P1.6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 del proceso de requisitos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(gestión de riesgos y políticas), ENS (organización), ISO 27001, ENISA NCSS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Evalúan si existe proceso formal alineado con exigencias de gestión de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P2.1–P2.5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activos, riesgos y apetito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(gestión de riesgos), ENS (análisis de riesgos), ISO 27005, ENISA guías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Conectan inventario, análisis de riesgos y tolerancia al riesgo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P3.1–P3.6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y calidad de requisitos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SQUARE (todos los pasos), ISO/IEC 25010 (calidad), NIS2 (medidas técnicas)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Miden la traducción de riesgos en requisitos claros y verificables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P4.1–P4.5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e indicadores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(metodologías de evaluación NCSS), SEI (Cybersecurity Quality Metrics)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Analizan existencia de métricas estructuradas para seguimiento de requisitos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P5.1–P5.4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Alineamiento normativo (NIS2, ENS, ISO)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NIS2, ENS, ISO 27001, ISO 27701, normativa sectorial específica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Evalúan cómo se integran marcos regulatorios en la ingeniería de requisitos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P6.1–P6.3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Continuidad, resiliencia y ejercicios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(continuidad), ENS (protección de la disponibilidad), ISO 22301, ENISA guías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Conectan requisitos de seguridad con continuidad de negocio y ejercicios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P7.1–P7.3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Herramientas, plantillas y capacidades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(perfiles de capacidades), ISO 27001 (competencia, concienciación)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Vinculan competencias y medios con los requisitos de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P8.1–P8.3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 e Índice de Gestión de Mandato (IGM)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Buenas prácticas de gestión (COSO, ISO 31000), NIS2 (proporcionalidad de medidas)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Introducen la dimensión económica y de cumplimiento integral de mandatos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P9.1–P9.4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Cultura, barreras y autopercepción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ENISA (maturity models), guías de cultura de ciberseguridad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Ayudan a interpretar el contexto cultural y organizativo de la aplicación de marcos</w:t>
            </w:r>
          </w:p>
        </w:tc>
      </w:tr>
    </w:tbl>
    <w:p/>
    <w:p>
      <w:r>
        <w:t>Este mapeo puede ampliarse con referencias más específicas sectoriales (sanidad, energía, financiero, etc.) en anexos adicionales.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