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CMMC / NIS2 / ENS</w:t>
      </w:r>
    </w:p>
    <w:p>
      <w:r>
        <w:t>Versión: 1.0</w:t>
      </w:r>
      <w:r/>
      <w:r>
        <w:br/>
        <w:t>Propósito: Alinear objetivos nacionales y corporativos con indicadores técnicos de ciberseguridad inspirados en CMMC, evaluando además la calidad de cada métrica bajo los criterios PRAGMATIC.</w:t>
      </w:r>
    </w:p>
    <w:p>
      <w:pPr>
        <w:pStyle w:val="Heading2"/>
        <w:keepNext/>
        <w:keepLines/>
      </w:pPr>
      <w:r>
        <w:rPr>
          <w:color w:val="0066CC"/>
        </w:rPr>
        <w:t>1. Recordatorio breve: GQM y PRAGMATIC</w:t>
      </w:r>
    </w:p>
    <w:p>
      <w:pPr>
        <w:pStyle w:val="Heading3"/>
        <w:keepNext/>
        <w:keepLines/>
      </w:pPr>
      <w:r>
        <w:t>1.1. GQM (Goal–Question–Metric)</w:t>
      </w:r>
    </w:p>
    <w:p>
      <w:r>
        <w:t xml:space="preserve">El enfoque </w:t>
      </w:r>
      <w:r>
        <w:rPr>
          <w:b/>
        </w:rPr>
        <w:t>Goal–Question–Metric (GQM)</w:t>
      </w:r>
      <w:r>
        <w:t xml:space="preserve"> propone definir primero los objetivos, después las preguntas que permiten evaluar el grado de cumplimiento de esos objetivos y, por último, las métricas que responden a dichas preguntas.[web:53][web:56][web:60][web:66]</w:t>
      </w:r>
    </w:p>
    <w:p>
      <w:pPr>
        <w:pStyle w:val="ListBullet"/>
        <w:keepLines w:val="1"/>
        <w:keepNext w:val="1"/>
        <w:widowControl w:val="1"/>
      </w:pPr>
      <w:r>
        <w:t xml:space="preserve">Goal (Objetivo): Qué queremos lograr y sobre qué objeto (organización, proceso, sistema…).  </w:t>
      </w:r>
    </w:p>
    <w:p>
      <w:pPr>
        <w:pStyle w:val="ListBullet"/>
        <w:keepLines w:val="1"/>
        <w:keepNext w:val="1"/>
        <w:widowControl w:val="1"/>
      </w:pPr>
      <w:r>
        <w:t xml:space="preserve">Question (Pregunta): Qué debemos preguntar para saber si avanzamos hacia el objetivo.  </w:t>
      </w:r>
    </w:p>
    <w:p>
      <w:pPr>
        <w:pStyle w:val="ListBullet"/>
        <w:keepLines w:val="1"/>
        <w:widowControl w:val="1"/>
      </w:pPr>
      <w:r>
        <w:t>Metric (Métrica): Qué datos concretos medimos para responder a la pregunta con evidencia.</w:t>
      </w:r>
    </w:p>
    <w:p>
      <w:pPr>
        <w:pStyle w:val="Heading3"/>
        <w:keepNext/>
        <w:keepLines/>
      </w:pPr>
      <w:r>
        <w:t>1.2. PRAGMATIC</w:t>
      </w:r>
    </w:p>
    <w:p>
      <w:r>
        <w:t xml:space="preserve">El marco </w:t>
      </w:r>
      <w:r>
        <w:rPr>
          <w:b/>
        </w:rPr>
        <w:t>PRAGMATIC</w:t>
      </w:r>
      <w:r>
        <w:t xml:space="preserve"> define nueve criterios para evaluar la utilidad de una métrica:[web:58][web:61][web:64][web:67]</w:t>
      </w:r>
    </w:p>
    <w:p>
      <w:pPr>
        <w:pStyle w:val="ListBullet"/>
        <w:keepLines w:val="1"/>
        <w:keepNext w:val="1"/>
        <w:widowControl w:val="1"/>
      </w:pPr>
      <w:r>
        <w:t xml:space="preserve">P – Predictivo: Ayuda a anticipar resultados futuros.  </w:t>
      </w:r>
    </w:p>
    <w:p>
      <w:pPr>
        <w:pStyle w:val="ListBullet"/>
        <w:keepLines w:val="1"/>
        <w:keepNext w:val="1"/>
        <w:widowControl w:val="1"/>
      </w:pPr>
      <w:r>
        <w:t xml:space="preserve">R – Relevante: Conectada con objetivos y riesgos reales.  </w:t>
      </w:r>
    </w:p>
    <w:p>
      <w:pPr>
        <w:pStyle w:val="ListBullet"/>
        <w:keepLines w:val="1"/>
        <w:keepNext w:val="1"/>
        <w:widowControl w:val="1"/>
      </w:pPr>
      <w:r>
        <w:t xml:space="preserve">A – Accionable: Permite tomar decisiones concretas.  </w:t>
      </w:r>
    </w:p>
    <w:p>
      <w:pPr>
        <w:pStyle w:val="ListBullet"/>
        <w:keepLines w:val="1"/>
        <w:keepNext w:val="1"/>
        <w:widowControl w:val="1"/>
      </w:pPr>
      <w:r>
        <w:t xml:space="preserve">G – Genuino: Mide lo que dice medir, sin artificios.  </w:t>
      </w:r>
    </w:p>
    <w:p>
      <w:pPr>
        <w:pStyle w:val="ListBullet"/>
        <w:keepLines w:val="1"/>
        <w:keepNext w:val="1"/>
        <w:widowControl w:val="1"/>
      </w:pPr>
      <w:r>
        <w:t xml:space="preserve">M – Significativo (Meaningful): Fácil de entender y explicar.  </w:t>
      </w:r>
    </w:p>
    <w:p>
      <w:pPr>
        <w:pStyle w:val="ListBullet"/>
        <w:keepLines w:val="1"/>
        <w:keepNext w:val="1"/>
        <w:widowControl w:val="1"/>
      </w:pPr>
      <w:r>
        <w:t xml:space="preserve">A – Preciso (Accurate): Fiable en términos de exactitud.  </w:t>
      </w:r>
    </w:p>
    <w:p>
      <w:pPr>
        <w:pStyle w:val="ListBullet"/>
        <w:keepLines w:val="1"/>
        <w:keepNext w:val="1"/>
        <w:widowControl w:val="1"/>
      </w:pPr>
      <w:r>
        <w:t xml:space="preserve">T – Oportuno (Timely): Disponible con la frecuencia necesaria.  </w:t>
      </w:r>
    </w:p>
    <w:p>
      <w:pPr>
        <w:pStyle w:val="ListBullet"/>
        <w:keepLines w:val="1"/>
        <w:keepNext w:val="1"/>
        <w:widowControl w:val="1"/>
      </w:pPr>
      <w:r>
        <w:t xml:space="preserve">I – Independiente: No manipulado por quienes son evaluados.  </w:t>
      </w:r>
    </w:p>
    <w:p>
      <w:pPr>
        <w:pStyle w:val="ListBullet"/>
        <w:keepLines w:val="1"/>
        <w:widowControl w:val="1"/>
      </w:pPr>
      <w:r>
        <w:t>C – Rentable (Cheap): Su coste de obtención es razonable.</w:t>
      </w:r>
    </w:p>
    <w:p>
      <w:r>
        <w:t>Cada criterio puede puntuarse, por ejemplo, de 0 a 5, generando un “metamétrica” de calidad de la métrica.</w:t>
      </w:r>
    </w:p>
    <w:p>
      <w:pPr>
        <w:pStyle w:val="Heading2"/>
        <w:keepNext/>
        <w:keepLines/>
      </w:pPr>
      <w:r>
        <w:rPr>
          <w:color w:val="0066CC"/>
        </w:rPr>
        <w:t>2. Ejes GQM aplicados a indicadores CMMC</w:t>
      </w:r>
    </w:p>
    <w:p>
      <w:r>
        <w:t>Tomamos algunos indicadores clave del informe previo CMMC/NIST (adaptables a ámbito nacional español) y los estructuramos en GQM.</w:t>
      </w:r>
    </w:p>
    <w:p>
      <w:pPr>
        <w:pStyle w:val="Heading3"/>
        <w:keepNext/>
        <w:keepLines/>
      </w:pPr>
      <w:r>
        <w:t>2.1. Ejemplo 1 – Cobertura de MFA en cuentas críticas</w:t>
      </w:r>
    </w:p>
    <w:p>
      <w:r>
        <w:rPr>
          <w:b/>
        </w:rPr>
        <w:t>Goal G1</w:t>
      </w:r>
      <w:r/>
      <w:r>
        <w:br/>
        <w:t>Asegurar que los accesos a sistemas críticos están fuertemente autenticados, reduciendo la probabilidad de compromiso de credenciales y accesos no autorizados (alineado con NIST 800‑171 IA‑2, IA‑5, CMMC AC/IA y ENS).[web:18][web:20][web:26][web:65]</w:t>
      </w:r>
    </w:p>
    <w:p>
      <w:r>
        <w:rPr>
          <w:b/>
        </w:rPr>
        <w:t>Questions asociadas</w:t>
      </w:r>
      <w:r/>
      <w:r>
        <w:br/>
        <w:t>- Q1.1: ¿Qué porcentaje de cuentas con acceso a sistemas críticos utiliza MFA robusta?</w:t>
      </w:r>
      <w:r/>
      <w:r>
        <w:br/>
        <w:t>- Q1.2: ¿Qué porcentaje de accesos remotos a sistemas críticos se protege con MFA?</w:t>
      </w:r>
      <w:r/>
      <w:r>
        <w:br/>
        <w:t>- Q1.3: ¿Se aplican excepciones y cómo se gestionan?</w:t>
      </w:r>
    </w:p>
    <w:p>
      <w:r>
        <w:rPr>
          <w:b/>
        </w:rPr>
        <w:t>Metrics</w:t>
      </w:r>
      <w:r/>
      <w:r>
        <w:br/>
        <w:t xml:space="preserve">- M1.1: </w:t>
      </w:r>
      <w:r>
        <w:rPr>
          <w:rFonts w:ascii="Courier New" w:hAnsi="Courier New"/>
          <w:sz w:val="18"/>
        </w:rPr>
        <w:t>%_Cuentas_criticas_MFA = (Nº de cuentas críticas con MFA / Nº total de cuentas críticas) × 100</w:t>
      </w:r>
      <w:r>
        <w:t>.</w:t>
      </w:r>
      <w:r/>
      <w:r>
        <w:br/>
        <w:t xml:space="preserve">- M1.2: </w:t>
      </w:r>
      <w:r>
        <w:rPr>
          <w:rFonts w:ascii="Courier New" w:hAnsi="Courier New"/>
          <w:sz w:val="18"/>
        </w:rPr>
        <w:t>%_Accesos_remotos_MFA = (Nº accesos remotos a sistemas críticos con MFA / Nº total accesos remotos a sistemas críticos) × 100</w:t>
      </w:r>
      <w:r>
        <w:t>.</w:t>
      </w:r>
      <w:r/>
      <w:r>
        <w:br/>
        <w:t xml:space="preserve">- M1.3: </w:t>
      </w:r>
      <w:r>
        <w:rPr>
          <w:rFonts w:ascii="Courier New" w:hAnsi="Courier New"/>
          <w:sz w:val="18"/>
        </w:rPr>
        <w:t>Nº_excepciones_MFA</w:t>
      </w:r>
      <w:r>
        <w:t xml:space="preserve"> y </w:t>
      </w:r>
      <w:r>
        <w:rPr>
          <w:rFonts w:ascii="Courier New" w:hAnsi="Courier New"/>
          <w:sz w:val="18"/>
        </w:rPr>
        <w:t>%_excepciones_MFA</w:t>
      </w:r>
      <w:r>
        <w:t xml:space="preserve"> sobre el total de cuentas críticas.</w:t>
      </w:r>
    </w:p>
    <w:p>
      <w:pPr>
        <w:pStyle w:val="Heading3"/>
        <w:keepNext/>
        <w:keepLines/>
      </w:pPr>
      <w:r>
        <w:t>2.2. Ejemplo 2 – Tiempo medio de parcheo de vulnerabilidades críticas</w:t>
      </w:r>
    </w:p>
    <w:p>
      <w:r>
        <w:rPr>
          <w:b/>
        </w:rPr>
        <w:t>Goal G2</w:t>
      </w:r>
      <w:r/>
      <w:r>
        <w:br/>
        <w:t>Reducir la ventana de exposición a vulnerabilidades críticas en sistemas expuestos, alineado con buenas prácticas NIST, CMMC y ENS/NIS2.[web:18][web:20][web:62][web:65]</w:t>
      </w:r>
    </w:p>
    <w:p>
      <w:r>
        <w:rPr>
          <w:b/>
        </w:rPr>
        <w:t>Questions</w:t>
      </w:r>
      <w:r/>
      <w:r>
        <w:br/>
        <w:t>- Q2.1: ¿Cuál es el plazo medio de aplicación de parches críticos en sistemas expuestos a internet?</w:t>
      </w:r>
      <w:r/>
      <w:r>
        <w:br/>
        <w:t>- Q2.2: ¿Qué porcentaje de sistemas críticos tiene todas las vulnerabilidades críticas corregidas dentro del plazo objetivo?</w:t>
      </w:r>
      <w:r/>
      <w:r>
        <w:br/>
        <w:t>- Q2.3: ¿Cuál es el número medio de vulnerabilidades críticas abiertas por activo crítico?</w:t>
      </w:r>
    </w:p>
    <w:p>
      <w:r>
        <w:rPr>
          <w:b/>
        </w:rPr>
        <w:t>Metrics</w:t>
      </w:r>
      <w:r/>
      <w:r>
        <w:br/>
        <w:t xml:space="preserve">- M2.1: </w:t>
      </w:r>
      <w:r>
        <w:rPr>
          <w:rFonts w:ascii="Courier New" w:hAnsi="Courier New"/>
          <w:sz w:val="18"/>
        </w:rPr>
        <w:t>MTTP_critico = tiempo medio (en días) desde publicación/identificación de parche crítico hasta su implantación en sistemas expuestos</w:t>
      </w:r>
      <w:r>
        <w:t>.</w:t>
      </w:r>
      <w:r/>
      <w:r>
        <w:br/>
        <w:t xml:space="preserve">- M2.2: </w:t>
      </w:r>
      <w:r>
        <w:rPr>
          <w:rFonts w:ascii="Courier New" w:hAnsi="Courier New"/>
          <w:sz w:val="18"/>
        </w:rPr>
        <w:t>%_Sistemas_cumplen_SLA_parcheo_critico</w:t>
      </w:r>
      <w:r>
        <w:t>.</w:t>
      </w:r>
      <w:r/>
      <w:r>
        <w:br/>
        <w:t xml:space="preserve">- M2.3: </w:t>
      </w:r>
      <w:r>
        <w:rPr>
          <w:rFonts w:ascii="Courier New" w:hAnsi="Courier New"/>
          <w:sz w:val="18"/>
        </w:rPr>
        <w:t>Media_vuln_criticas_por_activo</w:t>
      </w:r>
      <w:r>
        <w:t>.</w:t>
      </w:r>
    </w:p>
    <w:p>
      <w:pPr>
        <w:pStyle w:val="Heading3"/>
        <w:keepNext/>
        <w:keepLines/>
      </w:pPr>
      <w:r>
        <w:t>2.3. Ejemplo 3 – Monitorización y respuesta (MTTD / MTTR)</w:t>
      </w:r>
    </w:p>
    <w:p>
      <w:r>
        <w:rPr>
          <w:b/>
        </w:rPr>
        <w:t>Goal G3</w:t>
      </w:r>
      <w:r/>
      <w:r>
        <w:br/>
        <w:t>Mejorar la capacidad de detección y respuesta a incidentes significativos, minimizando impacto y duración de las interrupciones (NIST 800‑171 IR/AU, CMMC IR, ENS y NIS2).[web:18][web:21][web:62][web:63][web:65]</w:t>
      </w:r>
    </w:p>
    <w:p>
      <w:r>
        <w:rPr>
          <w:b/>
        </w:rPr>
        <w:t>Questions</w:t>
      </w:r>
      <w:r/>
      <w:r>
        <w:br/>
        <w:t>- Q3.1: ¿Cuál es el tiempo medio de detección de incidentes significativos (MTTD)?</w:t>
      </w:r>
      <w:r/>
      <w:r>
        <w:br/>
        <w:t>- Q3.2: ¿Cuál es el tiempo medio de contención y recuperación (MTTR)?</w:t>
      </w:r>
      <w:r/>
      <w:r>
        <w:br/>
        <w:t>- Q3.3: ¿Qué porcentaje de incidentes significativos tiene análisis de causa raíz y plan de acción?</w:t>
      </w:r>
    </w:p>
    <w:p>
      <w:r>
        <w:rPr>
          <w:b/>
        </w:rPr>
        <w:t>Metrics</w:t>
      </w:r>
      <w:r/>
      <w:r>
        <w:br/>
        <w:t xml:space="preserve">- M3.1: </w:t>
      </w:r>
      <w:r>
        <w:rPr>
          <w:rFonts w:ascii="Courier New" w:hAnsi="Courier New"/>
          <w:sz w:val="18"/>
        </w:rPr>
        <w:t>MTTD_incidentes_significativos (horas/días)</w:t>
      </w:r>
      <w:r>
        <w:t>.</w:t>
      </w:r>
      <w:r/>
      <w:r>
        <w:br/>
        <w:t xml:space="preserve">- M3.2: </w:t>
      </w:r>
      <w:r>
        <w:rPr>
          <w:rFonts w:ascii="Courier New" w:hAnsi="Courier New"/>
          <w:sz w:val="18"/>
        </w:rPr>
        <w:t>MTTR_incidentes_significativos (horas/días)</w:t>
      </w:r>
      <w:r>
        <w:t>.</w:t>
      </w:r>
      <w:r/>
      <w:r>
        <w:br/>
        <w:t xml:space="preserve">- M3.3: </w:t>
      </w:r>
      <w:r>
        <w:rPr>
          <w:rFonts w:ascii="Courier New" w:hAnsi="Courier New"/>
          <w:sz w:val="18"/>
        </w:rPr>
        <w:t>%_Incidentes_con_postmortem = (Nº incidentes con análisis y plan / Nº total incidentes significativos) × 100</w:t>
      </w:r>
      <w:r>
        <w:t>.</w:t>
      </w:r>
    </w:p>
    <w:p>
      <w:pPr>
        <w:pStyle w:val="Heading3"/>
        <w:keepNext/>
        <w:keepLines/>
      </w:pPr>
      <w:r>
        <w:t>2.4. Ejemplo 4 – Clasificación y cifrado de información sensible (CUI‑like / datos críticos)</w:t>
      </w:r>
    </w:p>
    <w:p>
      <w:r>
        <w:rPr>
          <w:b/>
        </w:rPr>
        <w:t>Goal G4</w:t>
      </w:r>
      <w:r/>
      <w:r>
        <w:br/>
        <w:t>Garantizar que la información sensible está identificada, clasificada y protegida mediante cifrado y controles de acceso adecuados.[web:18][web:20][web:21][web:65]</w:t>
      </w:r>
    </w:p>
    <w:p>
      <w:r>
        <w:rPr>
          <w:b/>
        </w:rPr>
        <w:t>Questions</w:t>
      </w:r>
      <w:r/>
      <w:r>
        <w:br/>
        <w:t>- Q4.1: ¿Qué porcentaje de activos de datos sensibles está formalmente clasificado?</w:t>
      </w:r>
      <w:r/>
      <w:r>
        <w:br/>
        <w:t>- Q4.2: ¿Qué porcentaje de datos sensibles se cifra en reposo según políticas aprobadas?</w:t>
      </w:r>
      <w:r/>
      <w:r>
        <w:br/>
        <w:t>- Q4.3: ¿Qué porcentaje de canales que transportan datos sensibles utilizan cifrado robusto?</w:t>
      </w:r>
    </w:p>
    <w:p>
      <w:r>
        <w:rPr>
          <w:b/>
        </w:rPr>
        <w:t>Metrics</w:t>
      </w:r>
      <w:r/>
      <w:r>
        <w:br/>
        <w:t xml:space="preserve">- M4.1: </w:t>
      </w:r>
      <w:r>
        <w:rPr>
          <w:rFonts w:ascii="Courier New" w:hAnsi="Courier New"/>
          <w:sz w:val="18"/>
        </w:rPr>
        <w:t>%_Activos_datos_clasificados</w:t>
      </w:r>
      <w:r>
        <w:t>.</w:t>
      </w:r>
      <w:r/>
      <w:r>
        <w:br/>
        <w:t xml:space="preserve">- M4.2: </w:t>
      </w:r>
      <w:r>
        <w:rPr>
          <w:rFonts w:ascii="Courier New" w:hAnsi="Courier New"/>
          <w:sz w:val="18"/>
        </w:rPr>
        <w:t>%_Datos_sensibles_cifrados_en_reposo</w:t>
      </w:r>
      <w:r>
        <w:t>.</w:t>
      </w:r>
      <w:r/>
      <w:r>
        <w:br/>
        <w:t xml:space="preserve">- M4.3: </w:t>
      </w:r>
      <w:r>
        <w:rPr>
          <w:rFonts w:ascii="Courier New" w:hAnsi="Courier New"/>
          <w:sz w:val="18"/>
        </w:rPr>
        <w:t>%_Canales_sensibles_cifrados_en_transito</w:t>
      </w:r>
      <w:r>
        <w:t>.</w:t>
      </w:r>
    </w:p>
    <w:p>
      <w:pPr>
        <w:pStyle w:val="Heading3"/>
        <w:keepNext/>
        <w:keepLines/>
      </w:pPr>
      <w:r>
        <w:t>2.5. Ejemplo 5 – Gestión de proveedores críticos</w:t>
      </w:r>
    </w:p>
    <w:p>
      <w:r>
        <w:rPr>
          <w:b/>
        </w:rPr>
        <w:t>Goal G5</w:t>
      </w:r>
      <w:r/>
      <w:r>
        <w:br/>
        <w:t>Asegurar que los proveedores críticos alcanzan niveles mínimos de seguridad compatibles con el riesgo asumido y los marcos regulatorios (NIS2, ENS, DORA).[web:21][web:63]</w:t>
      </w:r>
    </w:p>
    <w:p>
      <w:r>
        <w:rPr>
          <w:b/>
        </w:rPr>
        <w:t>Questions</w:t>
      </w:r>
      <w:r/>
      <w:r>
        <w:br/>
        <w:t>- Q5.1: ¿Qué porcentaje de proveedores críticos están identificados y categorizados?</w:t>
      </w:r>
      <w:r/>
      <w:r>
        <w:br/>
        <w:t>- Q5.2: ¿Qué porcentaje de contratos con proveedores críticos incluye requisitos de seguridad verificables?</w:t>
      </w:r>
      <w:r/>
      <w:r>
        <w:br/>
        <w:t>- Q5.3: ¿Qué porcentaje de proveedores críticos se evalúa periódicamente con métricas estructuradas?</w:t>
      </w:r>
    </w:p>
    <w:p>
      <w:r>
        <w:rPr>
          <w:b/>
        </w:rPr>
        <w:t>Metrics</w:t>
      </w:r>
      <w:r/>
      <w:r>
        <w:br/>
        <w:t xml:space="preserve">- M5.1: </w:t>
      </w:r>
      <w:r>
        <w:rPr>
          <w:rFonts w:ascii="Courier New" w:hAnsi="Courier New"/>
          <w:sz w:val="18"/>
        </w:rPr>
        <w:t>%_Proveedores_criticos_identificados</w:t>
      </w:r>
      <w:r>
        <w:t>.</w:t>
      </w:r>
      <w:r/>
      <w:r>
        <w:br/>
        <w:t xml:space="preserve">- M5.2: </w:t>
      </w:r>
      <w:r>
        <w:rPr>
          <w:rFonts w:ascii="Courier New" w:hAnsi="Courier New"/>
          <w:sz w:val="18"/>
        </w:rPr>
        <w:t>%_Contratos_criticos_con_clausulas_seguridad_robustas</w:t>
      </w:r>
      <w:r>
        <w:t>.</w:t>
      </w:r>
      <w:r/>
      <w:r>
        <w:br/>
        <w:t xml:space="preserve">- M5.3: </w:t>
      </w:r>
      <w:r>
        <w:rPr>
          <w:rFonts w:ascii="Courier New" w:hAnsi="Courier New"/>
          <w:sz w:val="18"/>
        </w:rPr>
        <w:t>%_Proveedores_criticos_evaluados_anualmente</w:t>
      </w:r>
      <w:r>
        <w:t>.</w:t>
      </w:r>
    </w:p>
    <w:p>
      <w:pPr>
        <w:pStyle w:val="Heading3"/>
        <w:keepNext/>
        <w:keepLines/>
      </w:pPr>
      <w:r>
        <w:t>2.6. Ejemplo 6 – Cultura, formación y simulaciones</w:t>
      </w:r>
    </w:p>
    <w:p>
      <w:r>
        <w:rPr>
          <w:b/>
        </w:rPr>
        <w:t>Goal G6</w:t>
      </w:r>
      <w:r/>
      <w:r>
        <w:br/>
        <w:t>Desarrollar una cultura de ciberseguridad sólida mediante formación adaptada por rol y ejercicios prácticos.[web:18][web:21][web:63][web:65]</w:t>
      </w:r>
    </w:p>
    <w:p>
      <w:r>
        <w:rPr>
          <w:b/>
        </w:rPr>
        <w:t>Questions</w:t>
      </w:r>
      <w:r/>
      <w:r>
        <w:br/>
        <w:t>- Q6.1: ¿Qué porcentaje de la plantilla recibe formación anual en ciberseguridad?</w:t>
      </w:r>
      <w:r/>
      <w:r>
        <w:br/>
        <w:t>- Q6.2: ¿Con qué frecuencia se realizan simulaciones de phishing y cuál es la tasa de clics?</w:t>
      </w:r>
      <w:r/>
      <w:r>
        <w:br/>
        <w:t>- Q6.3: ¿Qué nivel de reporte voluntario de incidentes o sospechas existe?</w:t>
      </w:r>
    </w:p>
    <w:p>
      <w:r>
        <w:rPr>
          <w:b/>
        </w:rPr>
        <w:t>Metrics</w:t>
      </w:r>
      <w:r/>
      <w:r>
        <w:br/>
        <w:t xml:space="preserve">- M6.1: </w:t>
      </w:r>
      <w:r>
        <w:rPr>
          <w:rFonts w:ascii="Courier New" w:hAnsi="Courier New"/>
          <w:sz w:val="18"/>
        </w:rPr>
        <w:t>%_Plantilla_formacion_anual</w:t>
      </w:r>
      <w:r>
        <w:t>.</w:t>
      </w:r>
      <w:r/>
      <w:r>
        <w:br/>
        <w:t xml:space="preserve">- M6.2: </w:t>
      </w:r>
      <w:r>
        <w:rPr>
          <w:rFonts w:ascii="Courier New" w:hAnsi="Courier New"/>
          <w:sz w:val="18"/>
        </w:rPr>
        <w:t>Frecuencia_simulaciones_phishing</w:t>
      </w:r>
      <w:r>
        <w:t xml:space="preserve"> y </w:t>
      </w:r>
      <w:r>
        <w:rPr>
          <w:rFonts w:ascii="Courier New" w:hAnsi="Courier New"/>
          <w:sz w:val="18"/>
        </w:rPr>
        <w:t>Tasa_clicks_phishing</w:t>
      </w:r>
      <w:r>
        <w:t>.</w:t>
      </w:r>
      <w:r/>
      <w:r>
        <w:br/>
        <w:t xml:space="preserve">- M6.3: </w:t>
      </w:r>
      <w:r>
        <w:rPr>
          <w:rFonts w:ascii="Courier New" w:hAnsi="Courier New"/>
          <w:sz w:val="18"/>
        </w:rPr>
        <w:t>Nº_reportes_voluntarios_por_100_empleados</w:t>
      </w:r>
      <w:r>
        <w:t>.</w:t>
      </w:r>
    </w:p>
    <w:p>
      <w:pPr>
        <w:pStyle w:val="Heading3"/>
        <w:keepNext/>
        <w:keepLines/>
      </w:pPr>
      <w:r>
        <w:t>2.7. Ejemplo 7 – Documentación y evidencias (SSP, POA&amp;M)</w:t>
      </w:r>
    </w:p>
    <w:p>
      <w:r>
        <w:rPr>
          <w:b/>
        </w:rPr>
        <w:t>Goal G7</w:t>
      </w:r>
      <w:r/>
      <w:r>
        <w:br/>
        <w:t>Disponer de documentación estructurada (SSP, POA&amp;M, evidencias) que permita demostrar y mejorar el cumplimiento de medidas de seguridad.[web:18][web:31][web:32][web:42]</w:t>
      </w:r>
    </w:p>
    <w:p>
      <w:r>
        <w:rPr>
          <w:b/>
        </w:rPr>
        <w:t>Questions</w:t>
      </w:r>
      <w:r/>
      <w:r>
        <w:br/>
        <w:t>- Q7.1: ¿Existe y se mantiene un System Security Plan (SSP) para los sistemas relevantes?</w:t>
      </w:r>
      <w:r/>
      <w:r>
        <w:br/>
        <w:t>- Q7.2: ¿Qué porcentaje de controles clave tiene evidencias actualizadas?</w:t>
      </w:r>
      <w:r/>
      <w:r>
        <w:br/>
        <w:t>- Q7.3: ¿Qué porcentaje de acciones POA&amp;M están completadas dentro del plazo?</w:t>
      </w:r>
    </w:p>
    <w:p>
      <w:r>
        <w:rPr>
          <w:b/>
        </w:rPr>
        <w:t>Metrics</w:t>
      </w:r>
      <w:r/>
      <w:r>
        <w:br/>
        <w:t xml:space="preserve">- M7.1: </w:t>
      </w:r>
      <w:r>
        <w:rPr>
          <w:rFonts w:ascii="Courier New" w:hAnsi="Courier New"/>
          <w:sz w:val="18"/>
        </w:rPr>
        <w:t>Estado_SSP</w:t>
      </w:r>
      <w:r>
        <w:t xml:space="preserve"> (escala 0–4: inexistente → vivo y actualizado).</w:t>
      </w:r>
      <w:r/>
      <w:r>
        <w:br/>
        <w:t xml:space="preserve">- M7.2: </w:t>
      </w:r>
      <w:r>
        <w:rPr>
          <w:rFonts w:ascii="Courier New" w:hAnsi="Courier New"/>
          <w:sz w:val="18"/>
        </w:rPr>
        <w:t>%_Controles_con_evidencias_actualizadas</w:t>
      </w:r>
      <w:r>
        <w:t>.</w:t>
      </w:r>
      <w:r/>
      <w:r>
        <w:br/>
        <w:t xml:space="preserve">- M7.3: </w:t>
      </w:r>
      <w:r>
        <w:rPr>
          <w:rFonts w:ascii="Courier New" w:hAnsi="Courier New"/>
          <w:sz w:val="18"/>
        </w:rPr>
        <w:t>%_Acciones_POAM_completadas_en_plazo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3. Evaluación PRAGMATIC de las métricas</w:t>
      </w:r>
    </w:p>
    <w:p>
      <w:r>
        <w:t>Para cada métrica definida, se recomienda puntuación 0–5 en cada criterio PRAGMATIC.[web:58][web:61][web:64][web:67]</w:t>
      </w:r>
    </w:p>
    <w:p>
      <w:r>
        <w:t>Ejemplo de plantilla conceptual: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(Predictivo)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(Relevante)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(Accionable)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(Genuino)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(Signif.)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(Preciso)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(Oportuno)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(Indep.)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(Rentable)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 (0–45)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%_Cuentas_criticas_MFA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39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MTTP_critico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35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MTTD_incidentes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35</w:t>
            </w:r>
          </w:p>
        </w:tc>
      </w:tr>
    </w:tbl>
    <w:p/>
    <w:p>
      <w:r>
        <w:t>Se puede fijar un umbral (por ejemplo, ≥ 30/45) para considerar una métrica “apta para gobernanza”.</w:t>
      </w:r>
    </w:p>
    <w:p>
      <w:pPr>
        <w:pStyle w:val="Heading2"/>
        <w:keepNext/>
        <w:keepLines/>
      </w:pPr>
      <w:r>
        <w:rPr>
          <w:color w:val="0066CC"/>
        </w:rPr>
        <w:t>4. Encaje con indicadores nacionales (España)</w:t>
      </w:r>
    </w:p>
    <w:p>
      <w:r>
        <w:t>Los objetivos “G” pueden alinearse explícitamente con:</w:t>
      </w:r>
    </w:p>
    <w:p>
      <w:pPr>
        <w:pStyle w:val="ListBullet"/>
        <w:keepLines w:val="1"/>
        <w:keepNext w:val="1"/>
        <w:widowControl w:val="1"/>
      </w:pPr>
      <w:r>
        <w:t xml:space="preserve">Objetivos nacionales de resiliencia (planes de ciberseguridad, NIS2).[web:21][web:63]  </w:t>
      </w:r>
    </w:p>
    <w:p>
      <w:pPr>
        <w:pStyle w:val="ListBullet"/>
        <w:keepLines w:val="1"/>
        <w:keepNext w:val="1"/>
        <w:widowControl w:val="1"/>
      </w:pPr>
      <w:r>
        <w:t xml:space="preserve">Metodologías nacionales de evaluación de ciberresiliencia (por ejemplo, metodologías de INCIBE/IMC).[web:63]  </w:t>
      </w:r>
    </w:p>
    <w:p>
      <w:pPr>
        <w:pStyle w:val="ListBullet"/>
        <w:keepLines w:val="1"/>
        <w:widowControl w:val="1"/>
      </w:pPr>
      <w:r>
        <w:t>Informes nacionales de incidentes para calibrar niveles de madurez y metas realistas.[web:37][web:40][web:43]</w:t>
      </w:r>
    </w:p>
    <w:p>
      <w:r>
        <w:t>Así, por ejemplo:</w:t>
      </w:r>
    </w:p>
    <w:p>
      <w:pPr>
        <w:pStyle w:val="ListBullet"/>
        <w:keepLines w:val="1"/>
        <w:keepNext w:val="1"/>
        <w:widowControl w:val="1"/>
      </w:pPr>
      <w:r>
        <w:t xml:space="preserve">G3 (MTTD/MTTR) se alinea con objetivos nacionales de reducir el impacto de incidentes reportados.  </w:t>
      </w:r>
    </w:p>
    <w:p>
      <w:pPr>
        <w:pStyle w:val="ListBullet"/>
        <w:keepLines w:val="1"/>
        <w:widowControl w:val="1"/>
      </w:pPr>
      <w:r>
        <w:t>G5 (proveedores) se alinea con la necesidad regulatoria de gestionar riesgos en la cadena de suministro bajo NIS2 y DORA.</w:t>
      </w:r>
    </w:p>
    <w:p>
      <w:pPr>
        <w:pStyle w:val="Heading2"/>
        <w:keepNext/>
        <w:keepLines/>
      </w:pPr>
      <w:r>
        <w:rPr>
          <w:color w:val="0066CC"/>
        </w:rPr>
        <w:t>5. Resumen operativo</w:t>
      </w:r>
    </w:p>
    <w:p>
      <w:pPr>
        <w:pStyle w:val="ListNumber"/>
        <w:keepLines w:val="1"/>
        <w:keepNext w:val="1"/>
        <w:widowControl w:val="1"/>
      </w:pPr>
      <w:r>
        <w:t xml:space="preserve">Definir objetivos (G) alineados con estrategia nacional/sectorial y CMMC/NIST.  </w:t>
      </w:r>
    </w:p>
    <w:p>
      <w:pPr>
        <w:pStyle w:val="ListNumber"/>
        <w:keepLines w:val="1"/>
        <w:keepNext w:val="1"/>
        <w:widowControl w:val="1"/>
      </w:pPr>
      <w:r>
        <w:t xml:space="preserve">Derivar preguntas (Q) que operativicen esos objetivos en lenguaje de responsable de seguridad.  </w:t>
      </w:r>
    </w:p>
    <w:p>
      <w:pPr>
        <w:pStyle w:val="ListNumber"/>
        <w:keepLines w:val="1"/>
        <w:keepNext w:val="1"/>
        <w:widowControl w:val="1"/>
      </w:pPr>
      <w:r>
        <w:t xml:space="preserve">Derivar métricas (M) que sean medibles con datos disponibles o razonablemente obtenibles.  </w:t>
      </w:r>
    </w:p>
    <w:p>
      <w:pPr>
        <w:pStyle w:val="ListNumber"/>
        <w:keepLines w:val="1"/>
        <w:keepNext w:val="1"/>
        <w:widowControl w:val="1"/>
      </w:pPr>
      <w:r>
        <w:t xml:space="preserve">Evaluar cada métrica con PRAGMATIC y quedarse con las que superen un umbral de calidad.  </w:t>
      </w:r>
    </w:p>
    <w:p>
      <w:pPr>
        <w:pStyle w:val="ListNumber"/>
        <w:keepLines w:val="1"/>
        <w:widowControl w:val="1"/>
      </w:pPr>
      <w:r>
        <w:t>Integrar las métricas “seleccionadas” en cuadros de mando, plantillas Excel y reportes ejecutivos.</w:t>
      </w:r>
    </w:p>
    <w:p>
      <w:r>
        <w:rPr>
          <w:i/>
        </w:rPr>
        <w:t>Fin del Marco Integrativo GQM +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