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de Madurez CMMC / NIS2 / ENS</w:t>
      </w:r>
    </w:p>
    <w:p>
      <w:r>
        <w:t>Versión: 1.0</w:t>
      </w:r>
      <w:r/>
      <w:r>
        <w:br/>
        <w:t>Propósito: Orientar el diseño, la aplicación, el análisis y la interpretación de la Encuesta Integral de Madurez CMMC / NIS2 / ENS.</w:t>
      </w:r>
    </w:p>
    <w:p>
      <w:pPr>
        <w:pStyle w:val="Heading2"/>
        <w:keepNext/>
        <w:keepLines/>
      </w:pPr>
      <w:r>
        <w:rPr>
          <w:color w:val="0066CC"/>
        </w:rPr>
        <w:t>1. Objetivos de la encuesta</w:t>
      </w:r>
    </w:p>
    <w:p>
      <w:r>
        <w:t>La encuesta persigue varios objetivos simultáneos y no necesariamente modestos:</w:t>
      </w:r>
    </w:p>
    <w:p>
      <w:pPr>
        <w:pStyle w:val="ListNumber"/>
        <w:keepLines w:val="1"/>
        <w:keepNext w:val="1"/>
        <w:widowControl w:val="1"/>
      </w:pPr>
      <w:r>
        <w:t xml:space="preserve">Medir la madurez de ciberseguridad de organizaciones españolas usando como referencia conceptual CMMC 2.0 (Niveles 1–3) y los controles de NIST SP 800‑171/172, alineados con ENS, NIS2 y DORA.  </w:t>
      </w:r>
    </w:p>
    <w:p>
      <w:pPr>
        <w:pStyle w:val="ListNumber"/>
        <w:keepLines w:val="1"/>
        <w:keepNext w:val="1"/>
        <w:widowControl w:val="1"/>
      </w:pPr>
      <w:r>
        <w:t xml:space="preserve">Generar indicadores comparables entre organizaciones, sectores y tamaños, que puedan evolutivarse en una suerte de “SPRS‑nacional” o índice de madurez sectorial.  </w:t>
      </w:r>
    </w:p>
    <w:p>
      <w:pPr>
        <w:pStyle w:val="ListNumber"/>
        <w:keepLines w:val="1"/>
        <w:keepNext w:val="1"/>
        <w:widowControl w:val="1"/>
      </w:pPr>
      <w:r>
        <w:t xml:space="preserve">Proporcionar insumos cuantitativos para modelos de riesgo y cálculo de retorno de la inversión (ROI) en ciberseguridad, facilitando el diálogo entre CISOs, CFOs, actuarios y otros seres racionales.  </w:t>
      </w:r>
    </w:p>
    <w:p>
      <w:pPr>
        <w:pStyle w:val="ListNumber"/>
        <w:keepLines w:val="1"/>
        <w:widowControl w:val="1"/>
      </w:pPr>
      <w:r>
        <w:t>Fomentar una cultura de mejora continua, evitando tanto el derrotismo apocalíptico como el triunfalismo vacío: la intención es propositiva, no inquisitorial.</w:t>
      </w:r>
    </w:p>
    <w:p>
      <w:pPr>
        <w:pStyle w:val="Heading2"/>
        <w:keepNext/>
        <w:keepLines/>
      </w:pPr>
      <w:r>
        <w:rPr>
          <w:color w:val="0066CC"/>
        </w:rPr>
        <w:t>2. Alcance y población objetivo</w:t>
      </w:r>
    </w:p>
    <w:p>
      <w:pPr>
        <w:pStyle w:val="ListBullet"/>
        <w:keepLines w:val="1"/>
        <w:keepNext w:val="1"/>
        <w:widowControl w:val="1"/>
      </w:pPr>
      <w:r>
        <w:t xml:space="preserve">Ámbito geográfico: España (organizaciones establecidas en territorio español, con o sin actividad internacional).  </w:t>
      </w:r>
    </w:p>
    <w:p>
      <w:pPr>
        <w:pStyle w:val="ListBullet"/>
        <w:keepLines w:val="1"/>
        <w:keepNext w:val="1"/>
        <w:widowControl w:val="1"/>
      </w:pPr>
      <w:r>
        <w:t xml:space="preserve">Sectores: Administración pública, sanidad, energía, industria, transporte, financiero, TIC, defensa, educación e I+D, y otros sectores con dependencia digital significativa.  </w:t>
      </w:r>
    </w:p>
    <w:p>
      <w:pPr>
        <w:pStyle w:val="ListBullet"/>
        <w:keepLines w:val="1"/>
        <w:keepNext w:val="1"/>
        <w:widowControl w:val="1"/>
      </w:pPr>
      <w:r>
        <w:t xml:space="preserve">Tamaño: Desde pymes hasta grandes grupos, con segmentación por tramos de empleados.  </w:t>
      </w:r>
    </w:p>
    <w:p>
      <w:pPr>
        <w:pStyle w:val="ListBullet"/>
        <w:keepLines w:val="1"/>
        <w:keepNext w:val="1"/>
        <w:widowControl w:val="1"/>
      </w:pPr>
      <w:r>
        <w:t xml:space="preserve">Perfil de respondentes:  </w:t>
      </w:r>
    </w:p>
    <w:p>
      <w:pPr>
        <w:pStyle w:val="ListBullet"/>
        <w:keepLines w:val="1"/>
        <w:keepNext w:val="1"/>
        <w:widowControl w:val="1"/>
      </w:pPr>
      <w:r>
        <w:t xml:space="preserve">Responsables de ciberseguridad (CISO, RSSI, etc.).  </w:t>
      </w:r>
    </w:p>
    <w:p>
      <w:pPr>
        <w:pStyle w:val="ListBullet"/>
        <w:keepLines w:val="1"/>
        <w:keepNext w:val="1"/>
        <w:widowControl w:val="1"/>
      </w:pPr>
      <w:r>
        <w:t xml:space="preserve">Responsables de TI o seguridad tecnológica.  </w:t>
      </w:r>
    </w:p>
    <w:p>
      <w:pPr>
        <w:pStyle w:val="ListBullet"/>
        <w:keepLines w:val="1"/>
        <w:keepNext w:val="1"/>
        <w:widowControl w:val="1"/>
      </w:pPr>
      <w:r>
        <w:t xml:space="preserve">Responsables de cumplimiento normativo / riesgo operativo.  </w:t>
      </w:r>
    </w:p>
    <w:p>
      <w:pPr>
        <w:pStyle w:val="ListBullet"/>
        <w:keepLines w:val="1"/>
        <w:widowControl w:val="1"/>
      </w:pPr>
      <w:r>
        <w:t>En organizaciones pequeñas, el “responsable tácito” (normalmente IT manager, CEO o similar).</w:t>
      </w:r>
    </w:p>
    <w:p>
      <w:pPr>
        <w:pStyle w:val="Heading2"/>
        <w:keepNext/>
        <w:keepLines/>
      </w:pPr>
      <w:r>
        <w:rPr>
          <w:color w:val="0066CC"/>
        </w:rPr>
        <w:t>3. Diseño del cuestionario</w:t>
      </w:r>
    </w:p>
    <w:p>
      <w:r>
        <w:t xml:space="preserve">El cuestionario se estructura en </w:t>
      </w:r>
      <w:r>
        <w:rPr>
          <w:b/>
        </w:rPr>
        <w:t>12 bloques temáticos</w:t>
      </w:r>
      <w:r>
        <w:t>, alineados con:</w:t>
      </w:r>
    </w:p>
    <w:p>
      <w:pPr>
        <w:pStyle w:val="ListBullet"/>
        <w:keepLines w:val="1"/>
        <w:keepNext w:val="1"/>
        <w:widowControl w:val="1"/>
      </w:pPr>
      <w:r>
        <w:t xml:space="preserve">Las 14 familias de NIST SP 800‑171,  </w:t>
      </w:r>
    </w:p>
    <w:p>
      <w:pPr>
        <w:pStyle w:val="ListBullet"/>
        <w:keepLines w:val="1"/>
        <w:keepNext w:val="1"/>
        <w:widowControl w:val="1"/>
      </w:pPr>
      <w:r>
        <w:t xml:space="preserve">Los niveles de madurez de CMMC 2.0,  </w:t>
      </w:r>
    </w:p>
    <w:p>
      <w:pPr>
        <w:pStyle w:val="ListBullet"/>
        <w:keepLines w:val="1"/>
        <w:keepNext w:val="1"/>
        <w:widowControl w:val="1"/>
      </w:pPr>
      <w:r>
        <w:t xml:space="preserve">Los principios de NIS2, ENS y DORA,  </w:t>
      </w:r>
    </w:p>
    <w:p>
      <w:pPr>
        <w:pStyle w:val="ListBullet"/>
        <w:keepLines w:val="1"/>
        <w:widowControl w:val="1"/>
      </w:pPr>
      <w:r>
        <w:t>Y las obsesiones legítimas de cualquier CISO que haya dormido poco.</w:t>
      </w:r>
    </w:p>
    <w:p>
      <w:r>
        <w:t>Los bloques son:</w:t>
      </w:r>
    </w:p>
    <w:p>
      <w:pPr>
        <w:pStyle w:val="ListNumber"/>
        <w:keepLines w:val="1"/>
        <w:keepNext w:val="1"/>
        <w:widowControl w:val="1"/>
      </w:pPr>
      <w:r>
        <w:t xml:space="preserve">Gobernanza, estrategia y cultura.  </w:t>
      </w:r>
    </w:p>
    <w:p>
      <w:pPr>
        <w:pStyle w:val="ListNumber"/>
        <w:keepLines w:val="1"/>
        <w:keepNext w:val="1"/>
        <w:widowControl w:val="1"/>
      </w:pPr>
      <w:r>
        <w:t xml:space="preserve">Marcos de referencia (CMMC, NIST, ENS, NIS2, etc.).  </w:t>
      </w:r>
    </w:p>
    <w:p>
      <w:pPr>
        <w:pStyle w:val="ListNumber"/>
        <w:keepLines w:val="1"/>
        <w:keepNext w:val="1"/>
        <w:widowControl w:val="1"/>
      </w:pPr>
      <w:r>
        <w:t xml:space="preserve">Gestión de activos, configuración y vulnerabilidades.  </w:t>
      </w:r>
    </w:p>
    <w:p>
      <w:pPr>
        <w:pStyle w:val="ListNumber"/>
        <w:keepLines w:val="1"/>
        <w:keepNext w:val="1"/>
        <w:widowControl w:val="1"/>
      </w:pPr>
      <w:r>
        <w:t xml:space="preserve">Control de acceso e identidad.  </w:t>
      </w:r>
    </w:p>
    <w:p>
      <w:pPr>
        <w:pStyle w:val="ListNumber"/>
        <w:keepLines w:val="1"/>
        <w:keepNext w:val="1"/>
        <w:widowControl w:val="1"/>
      </w:pPr>
      <w:r>
        <w:t xml:space="preserve">Protección de información sensible.  </w:t>
      </w:r>
    </w:p>
    <w:p>
      <w:pPr>
        <w:pStyle w:val="ListNumber"/>
        <w:keepLines w:val="1"/>
        <w:keepNext w:val="1"/>
        <w:widowControl w:val="1"/>
      </w:pPr>
      <w:r>
        <w:t xml:space="preserve">Monitorización, detección y respuesta a incidentes.  </w:t>
      </w:r>
    </w:p>
    <w:p>
      <w:pPr>
        <w:pStyle w:val="ListNumber"/>
        <w:keepLines w:val="1"/>
        <w:keepNext w:val="1"/>
        <w:widowControl w:val="1"/>
      </w:pPr>
      <w:r>
        <w:t xml:space="preserve">Formación, concienciación y cultura.  </w:t>
      </w:r>
    </w:p>
    <w:p>
      <w:pPr>
        <w:pStyle w:val="ListNumber"/>
        <w:keepLines w:val="1"/>
        <w:keepNext w:val="1"/>
        <w:widowControl w:val="1"/>
      </w:pPr>
      <w:r>
        <w:t xml:space="preserve">Proveedores y cadena de suministro.  </w:t>
      </w:r>
    </w:p>
    <w:p>
      <w:pPr>
        <w:pStyle w:val="ListNumber"/>
        <w:keepLines w:val="1"/>
        <w:keepNext w:val="1"/>
        <w:widowControl w:val="1"/>
      </w:pPr>
      <w:r>
        <w:t xml:space="preserve">Documentación, evidencias y auditabilidad.  </w:t>
      </w:r>
    </w:p>
    <w:p>
      <w:pPr>
        <w:pStyle w:val="ListNumber"/>
        <w:keepLines w:val="1"/>
        <w:keepNext w:val="1"/>
        <w:widowControl w:val="1"/>
      </w:pPr>
      <w:r>
        <w:t xml:space="preserve">Métricas, indicadores e índices compuestos.  </w:t>
      </w:r>
    </w:p>
    <w:p>
      <w:pPr>
        <w:pStyle w:val="ListNumber"/>
        <w:keepLines w:val="1"/>
        <w:keepNext w:val="1"/>
        <w:widowControl w:val="1"/>
      </w:pPr>
      <w:r>
        <w:t xml:space="preserve">Inversión, ROI y mejora continua.  </w:t>
      </w:r>
    </w:p>
    <w:p>
      <w:pPr>
        <w:pStyle w:val="ListNumber"/>
        <w:keepLines w:val="1"/>
        <w:widowControl w:val="1"/>
      </w:pPr>
      <w:r>
        <w:t>Percepción global y ambición.</w:t>
      </w:r>
    </w:p>
    <w:p>
      <w:pPr>
        <w:pStyle w:val="Heading3"/>
        <w:keepNext/>
        <w:keepLines/>
      </w:pPr>
      <w:r>
        <w:t>3.1. Formato de respuestas</w:t>
      </w:r>
    </w:p>
    <w:p>
      <w:r>
        <w:t>Se han utilizado principalmente:</w:t>
      </w:r>
    </w:p>
    <w:p>
      <w:pPr>
        <w:pStyle w:val="ListBullet"/>
        <w:keepLines w:val="1"/>
        <w:keepNext w:val="1"/>
        <w:widowControl w:val="1"/>
      </w:pPr>
      <w:r>
        <w:t xml:space="preserve">Escalas ordinales (por ejemplo, de 0 a 5 en madurez, de 0–20 % a 96–100 % en cobertura).  </w:t>
      </w:r>
    </w:p>
    <w:p>
      <w:pPr>
        <w:pStyle w:val="ListBullet"/>
        <w:keepLines w:val="1"/>
        <w:keepNext w:val="1"/>
        <w:widowControl w:val="1"/>
      </w:pPr>
      <w:r>
        <w:t xml:space="preserve">Opciones múltiples para capturar estados de implementación (inexistente, parcial, completo, avanzado).  </w:t>
      </w:r>
    </w:p>
    <w:p>
      <w:pPr>
        <w:pStyle w:val="ListBullet"/>
        <w:keepLines w:val="1"/>
        <w:keepNext w:val="1"/>
        <w:widowControl w:val="1"/>
      </w:pPr>
      <w:r>
        <w:t xml:space="preserve">Respuestas múltiples seleccionables donde sea útil identificar varias prácticas simultáneas.  </w:t>
      </w:r>
    </w:p>
    <w:p>
      <w:pPr>
        <w:pStyle w:val="ListBullet"/>
        <w:keepLines w:val="1"/>
        <w:widowControl w:val="1"/>
      </w:pPr>
      <w:r>
        <w:t>Campo abierto de comentarios para matices cualitativos.</w:t>
      </w:r>
    </w:p>
    <w:p>
      <w:r>
        <w:t>Este formato facilita el cálculo de indicadores cuantitativos y la construcción de índices de madurez, sin renunciar a la riqueza narrativa cuando sea necesaria.</w:t>
      </w:r>
    </w:p>
    <w:p>
      <w:pPr>
        <w:pStyle w:val="Heading2"/>
        <w:keepNext/>
        <w:keepLines/>
      </w:pPr>
      <w:r>
        <w:rPr>
          <w:color w:val="0066CC"/>
        </w:rPr>
        <w:t>4. Mapeo metodológico a CMMC / NIST / ENS / NIS2</w:t>
      </w:r>
    </w:p>
    <w:p>
      <w:r>
        <w:t>Cada pregunta del cuestionario se vincula a:</w:t>
      </w:r>
    </w:p>
    <w:p>
      <w:pPr>
        <w:pStyle w:val="ListBullet"/>
        <w:keepLines w:val="1"/>
        <w:keepNext w:val="1"/>
        <w:widowControl w:val="1"/>
      </w:pPr>
      <w:r>
        <w:t xml:space="preserve">Uno o varios controles de NIST SP 800‑171/172 (por ejemplo, AC‑2, CM‑6, IR‑2).  </w:t>
      </w:r>
    </w:p>
    <w:p>
      <w:pPr>
        <w:pStyle w:val="ListBullet"/>
        <w:keepLines w:val="1"/>
        <w:keepNext w:val="1"/>
        <w:widowControl w:val="1"/>
      </w:pPr>
      <w:r>
        <w:t xml:space="preserve">La familia correspondiente en el modelo CMMC (Control de Acceso, Gestión de Configuración, Respuesta a Incidentes, etc.).  </w:t>
      </w:r>
    </w:p>
    <w:p>
      <w:pPr>
        <w:pStyle w:val="ListBullet"/>
        <w:keepLines w:val="1"/>
        <w:keepNext w:val="1"/>
        <w:widowControl w:val="1"/>
      </w:pPr>
      <w:r>
        <w:t xml:space="preserve">Requisitos relevantes de ENS (medidas de seguridad organizativas, operativas y de protección).  </w:t>
      </w:r>
    </w:p>
    <w:p>
      <w:pPr>
        <w:pStyle w:val="ListBullet"/>
        <w:keepLines w:val="1"/>
        <w:keepNext w:val="1"/>
        <w:widowControl w:val="1"/>
      </w:pPr>
      <w:r>
        <w:t xml:space="preserve">Disposiciones de NIS2, en particular las relacionadas con gestión de riesgos, medidas técnicas y organizativas, y notificación de incidentes.  </w:t>
      </w:r>
    </w:p>
    <w:p>
      <w:pPr>
        <w:pStyle w:val="ListBullet"/>
        <w:keepLines w:val="1"/>
        <w:widowControl w:val="1"/>
      </w:pPr>
      <w:r>
        <w:t>Disposiciones sectoriales como DORA (en el ámbito financiero), cuando proceda.</w:t>
      </w:r>
    </w:p>
    <w:p>
      <w:r>
        <w:t>El detalle completo de este mapeo se recoge en el documento “Mapeo Detallado Pregunta ↔ Requisito Normativo”.</w:t>
      </w:r>
    </w:p>
    <w:p>
      <w:pPr>
        <w:pStyle w:val="Heading2"/>
        <w:keepNext/>
        <w:keepLines/>
      </w:pPr>
      <w:r>
        <w:rPr>
          <w:color w:val="0066CC"/>
        </w:rPr>
        <w:t>5. Sistema de puntuación y cálculo de índices</w:t>
      </w:r>
    </w:p>
    <w:p>
      <w:pPr>
        <w:pStyle w:val="Heading3"/>
        <w:keepNext/>
        <w:keepLines/>
      </w:pPr>
      <w:r>
        <w:t>5.1. Puntuación de cada ítem</w:t>
      </w:r>
    </w:p>
    <w:p>
      <w:r>
        <w:t>Para cada pregunta cerrada se propone:</w:t>
      </w:r>
    </w:p>
    <w:p>
      <w:pPr>
        <w:pStyle w:val="ListBullet"/>
        <w:keepLines w:val="1"/>
        <w:keepNext w:val="1"/>
        <w:widowControl w:val="1"/>
      </w:pPr>
      <w:r>
        <w:t xml:space="preserve">Asignar una puntuación numérica a cada opción de respuesta, en una escala interna (por ejemplo, de 0 a 4 o de 0 a 5).  </w:t>
      </w:r>
    </w:p>
    <w:p>
      <w:pPr>
        <w:pStyle w:val="ListBullet"/>
        <w:keepLines w:val="1"/>
        <w:keepNext w:val="1"/>
        <w:widowControl w:val="1"/>
      </w:pPr>
      <w:r>
        <w:t xml:space="preserve">Asegurar que la escala respeta el orden lógico de madurez (0 = inexistente, máximo = práctica avanzada y sostenida).  </w:t>
      </w:r>
    </w:p>
    <w:p>
      <w:pPr>
        <w:pStyle w:val="ListBullet"/>
        <w:keepLines w:val="1"/>
        <w:widowControl w:val="1"/>
      </w:pPr>
      <w:r>
        <w:t>En el caso de respuestas basadas en porcentajes, usar rangos que reflejen hitos relevantes (ej. 0–20 %, 21–50 %, etc.), con progresión casi geométrica hacia los niveles superiores.</w:t>
      </w:r>
    </w:p>
    <w:p>
      <w:r>
        <w:t>Ejemplo simplificado:</w:t>
      </w:r>
    </w:p>
    <w:p>
      <w:pPr>
        <w:pStyle w:val="ListBullet"/>
        <w:keepLines w:val="1"/>
        <w:keepNext w:val="1"/>
        <w:widowControl w:val="1"/>
      </w:pPr>
      <w:r>
        <w:t xml:space="preserve">0–20 % → 0 puntos.  </w:t>
      </w:r>
    </w:p>
    <w:p>
      <w:pPr>
        <w:pStyle w:val="ListBullet"/>
        <w:keepLines w:val="1"/>
        <w:keepNext w:val="1"/>
        <w:widowControl w:val="1"/>
      </w:pPr>
      <w:r>
        <w:t xml:space="preserve">21–50 % → 1 punto.  </w:t>
      </w:r>
    </w:p>
    <w:p>
      <w:pPr>
        <w:pStyle w:val="ListBullet"/>
        <w:keepLines w:val="1"/>
        <w:keepNext w:val="1"/>
        <w:widowControl w:val="1"/>
      </w:pPr>
      <w:r>
        <w:t xml:space="preserve">51–80 % → 2 puntos.  </w:t>
      </w:r>
    </w:p>
    <w:p>
      <w:pPr>
        <w:pStyle w:val="ListBullet"/>
        <w:keepLines w:val="1"/>
        <w:keepNext w:val="1"/>
        <w:widowControl w:val="1"/>
      </w:pPr>
      <w:r>
        <w:t xml:space="preserve">81–95 % → 3 puntos.  </w:t>
      </w:r>
    </w:p>
    <w:p>
      <w:pPr>
        <w:pStyle w:val="ListBullet"/>
        <w:keepLines w:val="1"/>
        <w:widowControl w:val="1"/>
      </w:pPr>
      <w:r>
        <w:t>96–100 % → 4 puntos.</w:t>
      </w:r>
    </w:p>
    <w:p>
      <w:pPr>
        <w:pStyle w:val="Heading3"/>
        <w:keepNext/>
        <w:keepLines/>
      </w:pPr>
      <w:r>
        <w:t>5.2. Ponderación por bloques</w:t>
      </w:r>
    </w:p>
    <w:p>
      <w:r>
        <w:t>No todos los bloques tienen el mismo impacto en la postura de seguridad global. Se sugiere:</w:t>
      </w:r>
    </w:p>
    <w:p>
      <w:pPr>
        <w:pStyle w:val="ListBullet"/>
        <w:keepLines w:val="1"/>
        <w:keepNext w:val="1"/>
        <w:widowControl w:val="1"/>
      </w:pPr>
      <w:r>
        <w:t xml:space="preserve">Asignar pesos por bloque (ej. 10–15 % para gobernanza, 15–20 % para control de acceso y monitorización, etc.).  </w:t>
      </w:r>
    </w:p>
    <w:p>
      <w:pPr>
        <w:pStyle w:val="ListBullet"/>
        <w:keepLines w:val="1"/>
        <w:widowControl w:val="1"/>
      </w:pPr>
      <w:r>
        <w:t>Ajustar estos pesos según el sector (por ejemplo, mayor peso de resiliencia operativa en sectores críticos, mayor peso de protección de datos en sanidad).</w:t>
      </w:r>
    </w:p>
    <w:p>
      <w:pPr>
        <w:pStyle w:val="Heading3"/>
        <w:keepNext/>
        <w:keepLines/>
      </w:pPr>
      <w:r>
        <w:t>5.3. Índice Global de Madurez (IGM)</w:t>
      </w:r>
    </w:p>
    <w:p>
      <w:r>
        <w:t xml:space="preserve">El </w:t>
      </w:r>
      <w:r>
        <w:rPr>
          <w:b/>
        </w:rPr>
        <w:t>Índice Global de Madurez (IGM)</w:t>
      </w:r>
      <w:r>
        <w:t xml:space="preserve"> se calcula como:</w:t>
      </w:r>
    </w:p>
    <w:p>
      <w:r>
        <w:t>[</w:t>
      </w:r>
      <w:r/>
      <w:r>
        <w:br/>
        <w:t>IGM = \sum_{i=1}^{n} (P_i \times W_i)</w:t>
      </w:r>
      <w:r/>
      <w:r>
        <w:br/>
        <w:t>]</w:t>
      </w:r>
    </w:p>
    <w:p>
      <w:r>
        <w:t>donde:</w:t>
      </w:r>
    </w:p>
    <w:p>
      <w:pPr>
        <w:pStyle w:val="ListBullet"/>
        <w:keepLines w:val="1"/>
        <w:keepNext w:val="1"/>
        <w:widowControl w:val="1"/>
      </w:pPr>
      <w:r>
        <w:t xml:space="preserve">(P_i) es la puntuación normalizada (0–1) del bloque (i).  </w:t>
      </w:r>
    </w:p>
    <w:p>
      <w:pPr>
        <w:pStyle w:val="ListBullet"/>
        <w:keepLines w:val="1"/>
        <w:widowControl w:val="1"/>
      </w:pPr>
      <w:r>
        <w:t xml:space="preserve">(W_i) es el peso del bloque (i), con (\sum W_i = 1).  </w:t>
      </w:r>
    </w:p>
    <w:p>
      <w:r>
        <w:t>El resultado se puede escalar a 0–100 para facilitar su interpretación.</w:t>
      </w:r>
    </w:p>
    <w:p>
      <w:pPr>
        <w:pStyle w:val="Heading3"/>
        <w:keepNext/>
        <w:keepLines/>
      </w:pPr>
      <w:r>
        <w:t>5.4. Índices parciales</w:t>
      </w:r>
    </w:p>
    <w:p>
      <w:r>
        <w:t>Se recomienda calcular:</w:t>
      </w:r>
    </w:p>
    <w:p>
      <w:pPr>
        <w:pStyle w:val="ListBullet"/>
        <w:keepLines w:val="1"/>
        <w:keepNext w:val="1"/>
        <w:widowControl w:val="1"/>
      </w:pPr>
      <w:r>
        <w:t xml:space="preserve">Índice de Gobernanza y Cultura (IGC).  </w:t>
      </w:r>
    </w:p>
    <w:p>
      <w:pPr>
        <w:pStyle w:val="ListBullet"/>
        <w:keepLines w:val="1"/>
        <w:keepNext w:val="1"/>
        <w:widowControl w:val="1"/>
      </w:pPr>
      <w:r>
        <w:t xml:space="preserve">Índice Técnico (ITEC) (controles técnicos propiamente dichos).  </w:t>
      </w:r>
    </w:p>
    <w:p>
      <w:pPr>
        <w:pStyle w:val="ListBullet"/>
        <w:keepLines w:val="1"/>
        <w:keepNext w:val="1"/>
        <w:widowControl w:val="1"/>
      </w:pPr>
      <w:r>
        <w:t xml:space="preserve">Índice de Resiliencia (IRES) (resiliencia operacional, respuesta a incidentes, continuidad).  </w:t>
      </w:r>
    </w:p>
    <w:p>
      <w:pPr>
        <w:pStyle w:val="ListBullet"/>
        <w:keepLines w:val="1"/>
        <w:widowControl w:val="1"/>
      </w:pPr>
      <w:r>
        <w:t xml:space="preserve">Índice de Cadena de Suministro (ICAS).  </w:t>
      </w:r>
    </w:p>
    <w:p>
      <w:r>
        <w:t>Esto permite identificar “musculaturas” y “esguinces” específicos.</w:t>
      </w:r>
    </w:p>
    <w:p>
      <w:pPr>
        <w:pStyle w:val="Heading2"/>
        <w:keepNext/>
        <w:keepLines/>
      </w:pPr>
      <w:r>
        <w:rPr>
          <w:color w:val="0066CC"/>
        </w:rPr>
        <w:t>6. Cálculo del ROI y uso de la plantilla Excel</w:t>
      </w:r>
    </w:p>
    <w:p>
      <w:r>
        <w:t>La plantilla Excel asociada permite:</w:t>
      </w:r>
    </w:p>
    <w:p>
      <w:pPr>
        <w:pStyle w:val="ListNumber"/>
        <w:keepLines w:val="1"/>
        <w:keepNext w:val="1"/>
        <w:widowControl w:val="1"/>
      </w:pPr>
      <w:r>
        <w:t xml:space="preserve">Relacionar la evolución del IGM con la evolución de incidentes, pérdidas evitadas, interrupciones de servicio y otros indicadores de impacto.  </w:t>
      </w:r>
    </w:p>
    <w:p>
      <w:pPr>
        <w:pStyle w:val="ListNumber"/>
        <w:keepLines w:val="1"/>
        <w:keepNext w:val="1"/>
        <w:widowControl w:val="1"/>
      </w:pPr>
      <w:r>
        <w:t xml:space="preserve">Cuantificar el beneficio económico estimado (reducción de pérdidas esperadas, mejora en la probabilidad de ganar/retener contratos, reducción de primas de ciberseguro, etc.).  </w:t>
      </w:r>
    </w:p>
    <w:p>
      <w:pPr>
        <w:pStyle w:val="ListNumber"/>
        <w:keepLines w:val="1"/>
        <w:widowControl w:val="1"/>
      </w:pPr>
      <w:r>
        <w:t>Calcular métricas de ROI tales como:</w:t>
      </w:r>
    </w:p>
    <w:p>
      <w:r>
        <w:t>[</w:t>
      </w:r>
      <w:r/>
      <w:r>
        <w:br/>
        <w:t>ROI = \frac{Beneficios\ estimados - Coste\ de\ inversión}{Coste\ de\ inversión}</w:t>
      </w:r>
      <w:r/>
      <w:r>
        <w:br/>
        <w:t>]</w:t>
      </w:r>
    </w:p>
    <w:p>
      <w:r>
        <w:t>La guía sugiere utilizar, siempre que sea posible:</w:t>
      </w:r>
    </w:p>
    <w:p>
      <w:pPr>
        <w:pStyle w:val="ListBullet"/>
        <w:keepLines w:val="1"/>
        <w:keepNext w:val="1"/>
        <w:widowControl w:val="1"/>
      </w:pPr>
      <w:r>
        <w:t xml:space="preserve">Estimaciones basadas en datos históricos propios (frecuencia y severidad de incidentes).  </w:t>
      </w:r>
    </w:p>
    <w:p>
      <w:pPr>
        <w:pStyle w:val="ListBullet"/>
        <w:keepLines w:val="1"/>
        <w:keepNext w:val="1"/>
        <w:widowControl w:val="1"/>
      </w:pPr>
      <w:r>
        <w:t xml:space="preserve">Datos sectoriales (por ejemplo, informes nacionales de incidentes gestionados por INCIBE).  </w:t>
      </w:r>
    </w:p>
    <w:p>
      <w:pPr>
        <w:pStyle w:val="ListBullet"/>
        <w:keepLines w:val="1"/>
        <w:widowControl w:val="1"/>
      </w:pPr>
      <w:r>
        <w:t>Modelos actuariales simples (pérdida esperada = probabilidad × impacto).</w:t>
      </w:r>
    </w:p>
    <w:p>
      <w:pPr>
        <w:pStyle w:val="Heading2"/>
        <w:keepNext/>
        <w:keepLines/>
      </w:pPr>
      <w:r>
        <w:rPr>
          <w:color w:val="0066CC"/>
        </w:rPr>
        <w:t>7. Procedimiento de aplicación de la encuesta</w:t>
      </w:r>
    </w:p>
    <w:p>
      <w:pPr>
        <w:pStyle w:val="Heading3"/>
        <w:keepNext/>
        <w:keepLines/>
      </w:pPr>
      <w:r>
        <w:t>7.1. Preparación</w:t>
      </w:r>
    </w:p>
    <w:p>
      <w:pPr>
        <w:pStyle w:val="ListBullet"/>
        <w:keepLines w:val="1"/>
        <w:keepNext w:val="1"/>
        <w:widowControl w:val="1"/>
      </w:pPr>
      <w:r>
        <w:t xml:space="preserve">Definir claramente el alcance organizativo (empresa, grupo, unidad de negocio).  </w:t>
      </w:r>
    </w:p>
    <w:p>
      <w:pPr>
        <w:pStyle w:val="ListBullet"/>
        <w:keepLines w:val="1"/>
        <w:keepNext w:val="1"/>
        <w:widowControl w:val="1"/>
      </w:pPr>
      <w:r>
        <w:t xml:space="preserve">Identificar a las personas clave que deben responder (IT, seguridad, riesgo, negocio).  </w:t>
      </w:r>
    </w:p>
    <w:p>
      <w:pPr>
        <w:pStyle w:val="ListBullet"/>
        <w:keepLines w:val="1"/>
        <w:widowControl w:val="1"/>
      </w:pPr>
      <w:r>
        <w:t>Explicar el propósito: no se trata de buscar culpables, sino de establecer una línea base y oportunidades de mejora.</w:t>
      </w:r>
    </w:p>
    <w:p>
      <w:pPr>
        <w:pStyle w:val="Heading3"/>
        <w:keepNext/>
        <w:keepLines/>
      </w:pPr>
      <w:r>
        <w:t>7.2. Recogida de respuestas</w:t>
      </w:r>
    </w:p>
    <w:p>
      <w:pPr>
        <w:pStyle w:val="ListBullet"/>
        <w:keepLines w:val="1"/>
        <w:keepNext w:val="1"/>
        <w:widowControl w:val="1"/>
      </w:pPr>
      <w:r>
        <w:t xml:space="preserve">Preferiblemente mediante una plataforma en línea, que permita exportar datos a CSV/Excel.  </w:t>
      </w:r>
    </w:p>
    <w:p>
      <w:pPr>
        <w:pStyle w:val="ListBullet"/>
        <w:keepLines w:val="1"/>
        <w:keepNext w:val="1"/>
        <w:widowControl w:val="1"/>
      </w:pPr>
      <w:r>
        <w:t xml:space="preserve">Garantizar la confidencialidad a nivel de organización en los análisis agregados.  </w:t>
      </w:r>
    </w:p>
    <w:p>
      <w:pPr>
        <w:pStyle w:val="ListBullet"/>
        <w:keepLines w:val="1"/>
        <w:widowControl w:val="1"/>
      </w:pPr>
      <w:r>
        <w:t>Establecer un plazo razonable de respuesta (2–4 semanas) y recordatorios amigables.</w:t>
      </w:r>
    </w:p>
    <w:p>
      <w:pPr>
        <w:pStyle w:val="Heading3"/>
        <w:keepNext/>
        <w:keepLines/>
      </w:pPr>
      <w:r>
        <w:t>7.3. Validación y contraste</w:t>
      </w:r>
    </w:p>
    <w:p>
      <w:pPr>
        <w:pStyle w:val="ListBullet"/>
        <w:keepLines w:val="1"/>
        <w:keepNext w:val="1"/>
        <w:widowControl w:val="1"/>
      </w:pPr>
      <w:r>
        <w:t xml:space="preserve">Revisar respuestas incoherentes o extremos sospechosos (por ejemplo, autopercepción 5/5 con ausencia total de evidencias).  </w:t>
      </w:r>
    </w:p>
    <w:p>
      <w:pPr>
        <w:pStyle w:val="ListBullet"/>
        <w:keepLines w:val="1"/>
        <w:keepNext w:val="1"/>
        <w:widowControl w:val="1"/>
      </w:pPr>
      <w:r>
        <w:t xml:space="preserve">Permitir una breve entrevista de contraste con el responsable de ciberseguridad para resolver dudas.  </w:t>
      </w:r>
    </w:p>
    <w:p>
      <w:pPr>
        <w:pStyle w:val="ListBullet"/>
        <w:keepLines w:val="1"/>
        <w:widowControl w:val="1"/>
      </w:pPr>
      <w:r>
        <w:t>Documentar las decisiones de ajuste (sin entrar en inquisición).</w:t>
      </w:r>
    </w:p>
    <w:p>
      <w:pPr>
        <w:pStyle w:val="Heading2"/>
        <w:keepNext/>
        <w:keepLines/>
      </w:pPr>
      <w:r>
        <w:rPr>
          <w:color w:val="0066CC"/>
        </w:rPr>
        <w:t>8. Interpretación de resultados</w:t>
      </w:r>
    </w:p>
    <w:p>
      <w:pPr>
        <w:pStyle w:val="Heading3"/>
        <w:keepNext/>
        <w:keepLines/>
      </w:pPr>
      <w:r>
        <w:t>8.1. Niveles de madurez sugeridos</w:t>
      </w:r>
    </w:p>
    <w:p>
      <w:r>
        <w:t>A partir del IGM (0–100), se propone:</w:t>
      </w:r>
    </w:p>
    <w:p>
      <w:pPr>
        <w:pStyle w:val="ListBullet"/>
        <w:keepLines w:val="1"/>
        <w:keepNext w:val="1"/>
        <w:widowControl w:val="1"/>
      </w:pPr>
      <w:r>
        <w:t xml:space="preserve">0–20: Inmadurez crítica (modo “supervivencia”).  </w:t>
      </w:r>
    </w:p>
    <w:p>
      <w:pPr>
        <w:pStyle w:val="ListBullet"/>
        <w:keepLines w:val="1"/>
        <w:keepNext w:val="1"/>
        <w:widowControl w:val="1"/>
      </w:pPr>
      <w:r>
        <w:t xml:space="preserve">21–40: Básico/Reactivo.  </w:t>
      </w:r>
    </w:p>
    <w:p>
      <w:pPr>
        <w:pStyle w:val="ListBullet"/>
        <w:keepLines w:val="1"/>
        <w:keepNext w:val="1"/>
        <w:widowControl w:val="1"/>
      </w:pPr>
      <w:r>
        <w:t xml:space="preserve">41–60: Intermedio, con capacidades razonables pero heterogéneas.  </w:t>
      </w:r>
    </w:p>
    <w:p>
      <w:pPr>
        <w:pStyle w:val="ListBullet"/>
        <w:keepLines w:val="1"/>
        <w:keepNext w:val="1"/>
        <w:widowControl w:val="1"/>
      </w:pPr>
      <w:r>
        <w:t xml:space="preserve">61–80: Avanzado (equivalente a un CMMC Nivel 2 sólido).  </w:t>
      </w:r>
    </w:p>
    <w:p>
      <w:pPr>
        <w:pStyle w:val="ListBullet"/>
        <w:keepLines w:val="1"/>
        <w:widowControl w:val="1"/>
      </w:pPr>
      <w:r>
        <w:t>81–100: Referente (cercano a un Nivel 3 en ámbitos críticos).</w:t>
      </w:r>
    </w:p>
    <w:p>
      <w:pPr>
        <w:pStyle w:val="Heading3"/>
        <w:keepNext/>
        <w:keepLines/>
      </w:pPr>
      <w:r>
        <w:t>8.2. Comparaciones sectoriales y entre tamaños</w:t>
      </w:r>
    </w:p>
    <w:p>
      <w:pPr>
        <w:pStyle w:val="ListBullet"/>
        <w:keepLines w:val="1"/>
        <w:keepNext w:val="1"/>
        <w:widowControl w:val="1"/>
      </w:pPr>
      <w:r>
        <w:t xml:space="preserve">Evitar comparaciones simplistas (“mejor/peor”), centrándose en el contexto sectorial y la criticidad.  </w:t>
      </w:r>
    </w:p>
    <w:p>
      <w:pPr>
        <w:pStyle w:val="ListBullet"/>
        <w:keepLines w:val="1"/>
        <w:keepNext w:val="1"/>
        <w:widowControl w:val="1"/>
      </w:pPr>
      <w:r>
        <w:t xml:space="preserve">Utilizar cuartiles para ubicar a cada organización en su sector y tamaño.  </w:t>
      </w:r>
    </w:p>
    <w:p>
      <w:pPr>
        <w:pStyle w:val="ListBullet"/>
        <w:keepLines w:val="1"/>
        <w:widowControl w:val="1"/>
      </w:pPr>
      <w:r>
        <w:t>Señalar especialmente las áreas donde el gap entre ambición declarada y madurez real es más evidente.</w:t>
      </w:r>
    </w:p>
    <w:p>
      <w:pPr>
        <w:pStyle w:val="Heading2"/>
        <w:keepNext/>
        <w:keepLines/>
      </w:pPr>
      <w:r>
        <w:rPr>
          <w:color w:val="0066CC"/>
        </w:rPr>
        <w:t>9. Uso de los resultados para la mejora</w:t>
      </w:r>
    </w:p>
    <w:p>
      <w:r>
        <w:t>Los resultados deben usarse para:</w:t>
      </w:r>
    </w:p>
    <w:p>
      <w:pPr>
        <w:pStyle w:val="ListBullet"/>
        <w:keepLines w:val="1"/>
        <w:keepNext w:val="1"/>
        <w:widowControl w:val="1"/>
      </w:pPr>
      <w:r>
        <w:t xml:space="preserve">Priorizar iniciativas de mejora con criterios de riesgo y ROI.  </w:t>
      </w:r>
    </w:p>
    <w:p>
      <w:pPr>
        <w:pStyle w:val="ListBullet"/>
        <w:keepLines w:val="1"/>
        <w:keepNext w:val="1"/>
        <w:widowControl w:val="1"/>
      </w:pPr>
      <w:r>
        <w:t xml:space="preserve">Dimensionar de forma más racional la inversión en ciberseguridad.  </w:t>
      </w:r>
    </w:p>
    <w:p>
      <w:pPr>
        <w:pStyle w:val="ListBullet"/>
        <w:keepLines w:val="1"/>
        <w:keepNext w:val="1"/>
        <w:widowControl w:val="1"/>
      </w:pPr>
      <w:r>
        <w:t xml:space="preserve">Justificar ante órganos de gobierno y auditores las decisiones tomadas.  </w:t>
      </w:r>
    </w:p>
    <w:p>
      <w:pPr>
        <w:pStyle w:val="ListBullet"/>
        <w:keepLines w:val="1"/>
        <w:widowControl w:val="1"/>
      </w:pPr>
      <w:r>
        <w:t>Alimentar una hoja de ruta alineada con CMMC/NIST/ENS/NIS2, evitando tanto la parálisis por análisis como la improvisación alegre.</w:t>
      </w:r>
    </w:p>
    <w:p>
      <w:pPr>
        <w:pStyle w:val="Heading2"/>
        <w:keepNext/>
        <w:keepLines/>
      </w:pPr>
      <w:r>
        <w:rPr>
          <w:color w:val="0066CC"/>
        </w:rPr>
        <w:t>10. Advertencias, limitaciones y virtudes</w:t>
      </w:r>
    </w:p>
    <w:p>
      <w:pPr>
        <w:pStyle w:val="ListBullet"/>
        <w:keepLines w:val="1"/>
        <w:keepNext w:val="1"/>
        <w:widowControl w:val="1"/>
      </w:pPr>
      <w:r>
        <w:t xml:space="preserve">Es una autoevaluación estructurada, no una auditoría forense.  </w:t>
      </w:r>
    </w:p>
    <w:p>
      <w:pPr>
        <w:pStyle w:val="ListBullet"/>
        <w:keepLines w:val="1"/>
        <w:keepNext w:val="1"/>
        <w:widowControl w:val="1"/>
      </w:pPr>
      <w:r>
        <w:t xml:space="preserve">Depende de la honestidad y conocimiento de los respondentes; de ahí la importancia del contraste posterior.  </w:t>
      </w:r>
    </w:p>
    <w:p>
      <w:pPr>
        <w:pStyle w:val="ListBullet"/>
        <w:keepLines w:val="1"/>
        <w:keepNext w:val="1"/>
        <w:widowControl w:val="1"/>
      </w:pPr>
      <w:r>
        <w:t xml:space="preserve">No sustituye ningún esquema de certificación, pero puede prepararlos y hacerlos menos traumáticos.  </w:t>
      </w:r>
    </w:p>
    <w:p>
      <w:pPr>
        <w:pStyle w:val="ListBullet"/>
        <w:keepLines w:val="1"/>
        <w:widowControl w:val="1"/>
      </w:pPr>
      <w:r>
        <w:t>Bien utilizada, puede convertirse en un instrumento de diálogo entre tecnología, negocio, regulación y finanzas, que es donde suceden los milagros (y los presupuestos).</w:t>
      </w:r>
    </w:p>
    <w:p>
      <w:r>
        <w:rPr>
          <w:i/>
        </w:rPr>
        <w:t>Fin de la Guía Metodológica.</w:t>
      </w:r>
      <w:r/>
      <w:r>
        <w:br/>
      </w:r>
      <w:r>
        <w:rPr>
          <w:i/>
        </w:rPr>
        <w:t>Si después de leerla sigues queriendo aplicar la encuesta, eres claramente parte de la solución.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