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 para Métricas CMMC / NIS2 / ENS</w:t>
      </w:r>
    </w:p>
    <w:p>
      <w:r>
        <w:t>Versión: 1.0</w:t>
      </w:r>
      <w:r/>
      <w:r>
        <w:br/>
        <w:t>Nota: Puntuaciones 0–5 basadas en juicio experto; ajustar según contexto sectorial.</w:t>
      </w:r>
    </w:p>
    <w:p>
      <w:pPr>
        <w:pStyle w:val="Heading2"/>
        <w:keepNext/>
        <w:keepLines/>
      </w:pPr>
      <w:r>
        <w:rPr>
          <w:color w:val="0066CC"/>
        </w:rPr>
        <w:t>1. Leyenda de puntuaciones</w:t>
      </w:r>
    </w:p>
    <w:p>
      <w:pPr>
        <w:pStyle w:val="ListBullet"/>
        <w:keepLines w:val="1"/>
        <w:keepNext w:val="1"/>
        <w:widowControl w:val="1"/>
      </w:pPr>
      <w:r>
        <w:t xml:space="preserve">0 = Nulo / No cumple.  </w:t>
      </w:r>
    </w:p>
    <w:p>
      <w:pPr>
        <w:pStyle w:val="ListBullet"/>
        <w:keepLines w:val="1"/>
        <w:keepNext w:val="1"/>
        <w:widowControl w:val="1"/>
      </w:pPr>
      <w:r>
        <w:t xml:space="preserve">1 = Muy bajo.  </w:t>
      </w:r>
    </w:p>
    <w:p>
      <w:pPr>
        <w:pStyle w:val="ListBullet"/>
        <w:keepLines w:val="1"/>
        <w:keepNext w:val="1"/>
        <w:widowControl w:val="1"/>
      </w:pPr>
      <w:r>
        <w:t xml:space="preserve">2 = Bajo.  </w:t>
      </w:r>
    </w:p>
    <w:p>
      <w:pPr>
        <w:pStyle w:val="ListBullet"/>
        <w:keepLines w:val="1"/>
        <w:keepNext w:val="1"/>
        <w:widowControl w:val="1"/>
      </w:pPr>
      <w:r>
        <w:t xml:space="preserve">3 = Aceptable.  </w:t>
      </w:r>
    </w:p>
    <w:p>
      <w:pPr>
        <w:pStyle w:val="ListBullet"/>
        <w:keepLines w:val="1"/>
        <w:keepNext w:val="1"/>
        <w:widowControl w:val="1"/>
      </w:pPr>
      <w:r>
        <w:t xml:space="preserve">4 = Bueno.  </w:t>
      </w:r>
    </w:p>
    <w:p>
      <w:pPr>
        <w:pStyle w:val="ListBullet"/>
        <w:keepLines w:val="1"/>
        <w:widowControl w:val="1"/>
      </w:pPr>
      <w:r>
        <w:t>5 = Excelente.</w:t>
      </w:r>
    </w:p>
    <w:p>
      <w:pPr>
        <w:pStyle w:val="Heading2"/>
        <w:keepNext/>
        <w:keepLines/>
      </w:pPr>
      <w:r>
        <w:rPr>
          <w:color w:val="0066CC"/>
        </w:rPr>
        <w:t>2. Matriz principal</w:t>
      </w:r>
    </w:p>
    <w:p>
      <w:pPr>
        <w:pStyle w:val="Heading3"/>
        <w:keepNext/>
        <w:keepLines/>
      </w:pPr>
      <w:r>
        <w:t>2.1. Métricas de control de acceso y MFA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A(c)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%_Cuentas_criticas_MFA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Porcentaje de cuentas con acceso a sistemas críticos que usan MFA robusta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central para ataques de credenciales; muy útil para gobernanza.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%_Accesos_remotos_MFA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Porcentaje de accesos remotos a sistemas críticos protegidos con MFA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Gran impacto en riesgo; datos pueden requerir cierto esfuerzo de agregación.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Nº_excepciones_MFA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Número de cuentas críticas sin MFA por excepción aprobada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Muy útil para auditoría y reducción progresiva de excepciones.</w:t>
            </w:r>
          </w:p>
        </w:tc>
      </w:tr>
    </w:tbl>
    <w:p/>
    <w:p>
      <w:pPr>
        <w:pStyle w:val="Heading3"/>
        <w:keepNext/>
        <w:keepLines/>
      </w:pPr>
      <w:r>
        <w:t>2.2. Métricas de vulnerabilidades y parcheo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A(c)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MTTP_critico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Tiempo medio de parcheo de vulnerabilidades críticas en sistemas expuestos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Fuertemente correlacionado con probabilidad de explotación.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%_Sistemas_cumplen_SLA_parcheo_critico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Porcentaje de sistemas que cumplen el plazo objetivo de parcheo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muy adecuada para cuadros de mando y acuerdos de nivel de servicio internos.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Media_vuln_criticas_por_activo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Número medio de vulnerabilidades críticas abiertas por activo crítico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31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Útil, pero puede ser más sensible a errores de inventario.</w:t>
            </w:r>
          </w:p>
        </w:tc>
      </w:tr>
    </w:tbl>
    <w:p/>
    <w:p>
      <w:pPr>
        <w:pStyle w:val="Heading3"/>
        <w:keepNext/>
        <w:keepLines/>
      </w:pPr>
      <w:r>
        <w:t>2.3. Métricas de monitorización y respuesta (MTTD / MTTR)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A(c)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MTTD_incidentes_significativos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Tiempo medio de detección de incidentes significativos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estrella para SOC, aunque requiere definición clara de “incidente significativo”.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MTTR_incidentes_significativos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Tiempo medio de recuperación/contención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Directamente relacionada con impacto de negocio.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%_Incidentes_con_postmortem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Porcentaje de incidentes con análisis y plan de acción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Impulsa la mejora continua, relativamente barata de medir.</w:t>
            </w:r>
          </w:p>
        </w:tc>
      </w:tr>
    </w:tbl>
    <w:p/>
    <w:p>
      <w:pPr>
        <w:pStyle w:val="Heading3"/>
        <w:keepNext/>
        <w:keepLines/>
      </w:pPr>
      <w:r>
        <w:t>2.4. Métricas de clasificación y cifrado de información sensible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A(c)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%_Activos_datos_clasificados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Porcentaje de activos de datos sensibles formalmente clasificados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Requiere un esfuerzo inicial de clasificación; excelente para madurez estratégica.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%_Datos_sensibles_cifrados_en_reposo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Porcentaje de datos sensibles cifrados en reposo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clave para cumplimiento ENS/RGPD/NIS2.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%_Canales_sensibles_cifrados_en_transito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Porcentaje de canales que transportan datos sensibles con cifrado robusto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Muy útil para auditorías técnicas y revisiones de arquitectura.</w:t>
            </w:r>
          </w:p>
        </w:tc>
      </w:tr>
    </w:tbl>
    <w:p/>
    <w:p>
      <w:pPr>
        <w:pStyle w:val="Heading3"/>
        <w:keepNext/>
        <w:keepLines/>
      </w:pPr>
      <w:r>
        <w:t>2.5. Métricas de proveedores y cadena de suministro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A(c)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%_Proveedores_criticos_identificados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Porcentaje de proveedores críticos formalmente identificados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Condición necesaria para todo lo demás; muy alineada con NIS2/DORA.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%_Contratos_criticos_con_clausulas_seguridad_robustas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Porcentaje de contratos críticos con requisitos de seguridad verificables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Fuerte impacto en gobernanza de terceros; indicador muy valioso.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%_Proveedores_criticos_evaluados_anualmente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Porcentaje de proveedores críticos evaluados con métricas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Refuerza la supervisión continua de la cadena de suministro.</w:t>
            </w:r>
          </w:p>
        </w:tc>
      </w:tr>
    </w:tbl>
    <w:p/>
    <w:p>
      <w:pPr>
        <w:pStyle w:val="Heading3"/>
        <w:keepNext/>
        <w:keepLines/>
      </w:pPr>
      <w:r>
        <w:t>2.6. Métricas de formación, cultura y comportamiento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A(c)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%_Plantilla_formacion_anual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Porcentaje de plantilla con formación anual en ciberseguridad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casi obligatoria, fácil de obtener.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Tasa_clicks_phishing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Porcentaje de usuarios que caen en simulaciones de phishing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Muy accionable, pero requiere cuidado en la gestión cultural.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Nº_reportes_voluntarios_por_100_empleados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Reportes voluntarios de incidentes por cada 100 empleados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Buen indicador de cultura de reporte, no tan trivial de medir de forma homogénea.</w:t>
            </w:r>
          </w:p>
        </w:tc>
      </w:tr>
    </w:tbl>
    <w:p/>
    <w:p>
      <w:pPr>
        <w:pStyle w:val="Heading3"/>
        <w:keepNext/>
        <w:keepLines/>
      </w:pPr>
      <w:r>
        <w:t>2.7. Métricas de documentación y evidencias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A(c)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Estado_SSP (0–4)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Nivel de existencia/actualización del SSP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Sintética y muy usada en CMMC; algo subjetiva si no se define bien la escala.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%_Controles_con_evidencias_actualizadas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Porcentaje de controles con evidencias vigentes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Indicador potente de calidad de cumplimiento.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%_Acciones_POAM_completadas_en_plazo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Porcentaje de acciones de mejora completadas en plazo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Conecta claramente con la mejora continua.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Selección de métricas “estrella”</w:t>
      </w:r>
    </w:p>
    <w:p>
      <w:r>
        <w:t xml:space="preserve">Se pueden considerar como métricas prioritarias aquellas con </w:t>
      </w:r>
      <w:r>
        <w:rPr>
          <w:b/>
        </w:rPr>
        <w:t>≥ 34 puntos</w:t>
      </w:r>
      <w:r>
        <w:t>, por ejemplo:</w:t>
      </w:r>
    </w:p>
    <w:p>
      <w:pPr>
        <w:pStyle w:val="ListBullet"/>
        <w:keepLines w:val="1"/>
        <w:keepNext w:val="1"/>
        <w:widowControl w:val="1"/>
      </w:pPr>
      <w:r>
        <w:t xml:space="preserve">%_Cuentas_criticas_MFA </w:t>
      </w:r>
    </w:p>
    <w:p>
      <w:pPr>
        <w:pStyle w:val="ListBullet"/>
        <w:keepLines w:val="1"/>
        <w:keepNext w:val="1"/>
        <w:widowControl w:val="1"/>
      </w:pPr>
      <w:r>
        <w:t xml:space="preserve">%_Accesos_remotos_MFA </w:t>
      </w:r>
    </w:p>
    <w:p>
      <w:pPr>
        <w:pStyle w:val="ListBullet"/>
        <w:keepLines w:val="1"/>
        <w:keepNext w:val="1"/>
        <w:widowControl w:val="1"/>
      </w:pPr>
      <w:r>
        <w:t xml:space="preserve">MTTP_critico </w:t>
      </w:r>
    </w:p>
    <w:p>
      <w:pPr>
        <w:pStyle w:val="ListBullet"/>
        <w:keepLines w:val="1"/>
        <w:keepNext w:val="1"/>
        <w:widowControl w:val="1"/>
      </w:pPr>
      <w:r>
        <w:t xml:space="preserve">MTTD_incidentes_significativos </w:t>
      </w:r>
    </w:p>
    <w:p>
      <w:pPr>
        <w:pStyle w:val="ListBullet"/>
        <w:keepLines w:val="1"/>
        <w:keepNext w:val="1"/>
        <w:widowControl w:val="1"/>
      </w:pPr>
      <w:r>
        <w:t xml:space="preserve">MTTR_incidentes_significativos </w:t>
      </w:r>
    </w:p>
    <w:p>
      <w:pPr>
        <w:pStyle w:val="ListBullet"/>
        <w:keepLines w:val="1"/>
        <w:keepNext w:val="1"/>
        <w:widowControl w:val="1"/>
      </w:pPr>
      <w:r>
        <w:t xml:space="preserve">%_Datos_sensibles_cifrados_en_reposo </w:t>
      </w:r>
    </w:p>
    <w:p>
      <w:pPr>
        <w:pStyle w:val="ListBullet"/>
        <w:keepLines w:val="1"/>
        <w:keepNext w:val="1"/>
        <w:widowControl w:val="1"/>
      </w:pPr>
      <w:r>
        <w:t xml:space="preserve">%_Canales_sensibles_cifrados_en_transito </w:t>
      </w:r>
    </w:p>
    <w:p>
      <w:pPr>
        <w:pStyle w:val="ListBullet"/>
        <w:keepLines w:val="1"/>
        <w:keepNext w:val="1"/>
        <w:widowControl w:val="1"/>
      </w:pPr>
      <w:r>
        <w:t xml:space="preserve">%_Contratos_criticos_con_clausulas_seguridad_robustas </w:t>
      </w:r>
    </w:p>
    <w:p>
      <w:pPr>
        <w:pStyle w:val="ListBullet"/>
        <w:keepLines w:val="1"/>
        <w:keepNext w:val="1"/>
        <w:widowControl w:val="1"/>
      </w:pPr>
      <w:r>
        <w:t xml:space="preserve">%_Plantilla_formacion_anual </w:t>
      </w:r>
    </w:p>
    <w:p>
      <w:pPr>
        <w:pStyle w:val="ListBullet"/>
        <w:keepLines w:val="1"/>
        <w:keepNext w:val="1"/>
        <w:widowControl w:val="1"/>
      </w:pPr>
      <w:r>
        <w:t xml:space="preserve">Tasa_clicks_phishing </w:t>
      </w:r>
    </w:p>
    <w:p>
      <w:pPr>
        <w:pStyle w:val="ListBullet"/>
        <w:keepLines w:val="1"/>
        <w:keepNext w:val="1"/>
        <w:widowControl w:val="1"/>
      </w:pPr>
      <w:r>
        <w:t xml:space="preserve">%_Controles_con_evidencias_actualizadas </w:t>
      </w:r>
    </w:p>
    <w:p>
      <w:pPr>
        <w:pStyle w:val="ListBullet"/>
        <w:keepLines w:val="1"/>
        <w:widowControl w:val="1"/>
      </w:pPr>
      <w:r>
        <w:t>%_Acciones_POAM_completadas_en_plazo</w:t>
      </w:r>
    </w:p>
    <w:p>
      <w:r>
        <w:t>Estas son las mejores candidatas para figurar en cuadros de mando ejecutivos y en informes nacionales sectoriales.</w:t>
      </w:r>
    </w:p>
    <w:p>
      <w:r>
        <w:rPr>
          <w:i/>
        </w:rPr>
        <w:t>Fin de la Matriz de Evaluación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