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 la Encuesta de Madurez CMMC / NIS2 / ENS</w:t>
      </w:r>
    </w:p>
    <w:p>
      <w:r>
        <w:t>Versión: 1.0</w:t>
      </w:r>
      <w:r/>
      <w:r>
        <w:br/>
        <w:t>Dirigido a: Responsables de ciberseguridad, TI, riesgo, cumplimiento, y a cualquier persona que haya levantado la mano cuando preguntaron “¿quién sabe de informática?”.</w:t>
      </w:r>
    </w:p>
    <w:p>
      <w:pPr>
        <w:pStyle w:val="Heading2"/>
        <w:keepNext/>
        <w:keepLines/>
      </w:pPr>
      <w:r>
        <w:rPr>
          <w:color w:val="0066CC"/>
        </w:rPr>
        <w:t>1. Por qué esta encuesta (y por qué ahora)</w:t>
      </w:r>
    </w:p>
    <w:p>
      <w:r>
        <w:t xml:space="preserve">Vivimos en un ecosistema en el que los incidentes de ciberseguridad en España crecen año tras año, con decenas de miles de casos gestionados por organismos nacionales como INCIBE, y donde la digitalización deja de ser “proyecto” para convertirse en tejido nervioso del país.  </w:t>
      </w:r>
    </w:p>
    <w:p>
      <w:r>
        <w:t xml:space="preserve">Mientras tanto, marcos como </w:t>
      </w:r>
      <w:r>
        <w:rPr>
          <w:b/>
        </w:rPr>
        <w:t>CMMC 2.0</w:t>
      </w:r>
      <w:r>
        <w:t xml:space="preserve">, </w:t>
      </w:r>
      <w:r>
        <w:rPr>
          <w:b/>
        </w:rPr>
        <w:t>NIST SP 800‑171/172</w:t>
      </w:r>
      <w:r>
        <w:t xml:space="preserve">, </w:t>
      </w:r>
      <w:r>
        <w:rPr>
          <w:b/>
        </w:rPr>
        <w:t>NIS2</w:t>
      </w:r>
      <w:r>
        <w:t xml:space="preserve">, </w:t>
      </w:r>
      <w:r>
        <w:rPr>
          <w:b/>
        </w:rPr>
        <w:t>ENS</w:t>
      </w:r>
      <w:r>
        <w:t xml:space="preserve"> y </w:t>
      </w:r>
      <w:r>
        <w:rPr>
          <w:b/>
        </w:rPr>
        <w:t>DORA</w:t>
      </w:r>
      <w:r>
        <w:t xml:space="preserve"> se consolidan como el idioma común de la ciberseguridad moderna, especialmente cuando entran en juego cadenas de suministro internacionales y contratos que exigen algo más que promesas verbales.</w:t>
      </w:r>
    </w:p>
    <w:p>
      <w:r>
        <w:t>La encuesta que tienes entre manos aspira, sin falsa modestia pero con plena consciencia de sus límites, a:</w:t>
      </w:r>
    </w:p>
    <w:p>
      <w:pPr>
        <w:pStyle w:val="ListBullet"/>
        <w:keepLines w:val="1"/>
        <w:keepNext w:val="1"/>
        <w:widowControl w:val="1"/>
      </w:pPr>
      <w:r>
        <w:t xml:space="preserve">Ponerle números y matices a la madurez de ciberseguridad de las organizaciones.  </w:t>
      </w:r>
    </w:p>
    <w:p>
      <w:pPr>
        <w:pStyle w:val="ListBullet"/>
        <w:keepLines w:val="1"/>
        <w:keepNext w:val="1"/>
        <w:widowControl w:val="1"/>
      </w:pPr>
      <w:r>
        <w:t xml:space="preserve">Traducir el lenguaje a veces intimidante de los marcos normativos en preguntas inteligibles.  </w:t>
      </w:r>
    </w:p>
    <w:p>
      <w:pPr>
        <w:pStyle w:val="ListBullet"/>
        <w:keepLines w:val="1"/>
        <w:widowControl w:val="1"/>
      </w:pPr>
      <w:r>
        <w:t>Servir de espejo honesto: ni de feria distorsionada ni de filtro embellecedor.</w:t>
      </w:r>
    </w:p>
    <w:p>
      <w:pPr>
        <w:pStyle w:val="Heading2"/>
        <w:keepNext/>
        <w:keepLines/>
      </w:pPr>
      <w:r>
        <w:rPr>
          <w:color w:val="0066CC"/>
        </w:rPr>
        <w:t>2. El espíritu CMMC en territorio español</w:t>
      </w:r>
    </w:p>
    <w:p>
      <w:r>
        <w:t xml:space="preserve">El modelo </w:t>
      </w:r>
      <w:r>
        <w:rPr>
          <w:b/>
        </w:rPr>
        <w:t>CMMC</w:t>
      </w:r>
      <w:r>
        <w:t xml:space="preserve"> nació, a gran escala, para los contratistas del Departamento de Defensa estadounidense. Su principal virtud es que combina:</w:t>
      </w:r>
    </w:p>
    <w:p>
      <w:pPr>
        <w:pStyle w:val="ListBullet"/>
        <w:keepLines w:val="1"/>
        <w:keepNext w:val="1"/>
        <w:widowControl w:val="1"/>
      </w:pPr>
      <w:r>
        <w:t xml:space="preserve">Un conjunto claro de prácticas (lo que hay que hacer).  </w:t>
      </w:r>
    </w:p>
    <w:p>
      <w:pPr>
        <w:pStyle w:val="ListBullet"/>
        <w:keepLines w:val="1"/>
        <w:keepNext w:val="1"/>
        <w:widowControl w:val="1"/>
      </w:pPr>
      <w:r>
        <w:t xml:space="preserve">Un enfoque de madurez (cómo de integrado y sostenible está todo ello).  </w:t>
      </w:r>
    </w:p>
    <w:p>
      <w:pPr>
        <w:pStyle w:val="ListBullet"/>
        <w:keepLines w:val="1"/>
        <w:widowControl w:val="1"/>
      </w:pPr>
      <w:r>
        <w:t>Un sistema de evaluación y scoring (SPRS) que permite comparar y tomar decisiones.</w:t>
      </w:r>
    </w:p>
    <w:p>
      <w:r>
        <w:t xml:space="preserve">En España, nuestra realidad normativa propia se llama </w:t>
      </w:r>
      <w:r>
        <w:rPr>
          <w:b/>
        </w:rPr>
        <w:t>ENS</w:t>
      </w:r>
      <w:r>
        <w:t xml:space="preserve">, </w:t>
      </w:r>
      <w:r>
        <w:rPr>
          <w:b/>
        </w:rPr>
        <w:t>NIS2</w:t>
      </w:r>
      <w:r>
        <w:t xml:space="preserve">, </w:t>
      </w:r>
      <w:r>
        <w:rPr>
          <w:b/>
        </w:rPr>
        <w:t>DORA</w:t>
      </w:r>
      <w:r>
        <w:t xml:space="preserve">, </w:t>
      </w:r>
      <w:r>
        <w:rPr>
          <w:b/>
        </w:rPr>
        <w:t>RGPD</w:t>
      </w:r>
      <w:r>
        <w:t xml:space="preserve"> y compañía. La encuesta no pretende “importar” CMMC tal cual, sino inspirarse en su lógica:</w:t>
      </w:r>
    </w:p>
    <w:p>
      <w:pPr>
        <w:pStyle w:val="ListBullet"/>
        <w:keepLines w:val="1"/>
        <w:keepNext w:val="1"/>
        <w:widowControl w:val="1"/>
      </w:pPr>
      <w:r>
        <w:t xml:space="preserve">Estructurar la conversación en bloques temáticos (gobernanza, controles técnicos, resiliencia, cadena de suministro, etc.).  </w:t>
      </w:r>
    </w:p>
    <w:p>
      <w:pPr>
        <w:pStyle w:val="ListBullet"/>
        <w:keepLines w:val="1"/>
        <w:keepNext w:val="1"/>
        <w:widowControl w:val="1"/>
      </w:pPr>
      <w:r>
        <w:t xml:space="preserve">Traducir los controles en preguntas respondibles sin necesidad de un comité de traductores jurados.  </w:t>
      </w:r>
    </w:p>
    <w:p>
      <w:pPr>
        <w:pStyle w:val="ListBullet"/>
        <w:keepLines w:val="1"/>
        <w:widowControl w:val="1"/>
      </w:pPr>
      <w:r>
        <w:t>Permitir comparaciones internas y externas, sin perder de vista la diversidad de sectores y tamaños.</w:t>
      </w:r>
    </w:p>
    <w:p>
      <w:pPr>
        <w:pStyle w:val="Heading2"/>
        <w:keepNext/>
        <w:keepLines/>
      </w:pPr>
      <w:r>
        <w:rPr>
          <w:color w:val="0066CC"/>
        </w:rPr>
        <w:t>3. Cómo leer las preguntas (y cómo no)</w:t>
      </w:r>
    </w:p>
    <w:p>
      <w:r>
        <w:t>Cada pregunta ha sido diseñada con varias intenciones simultáneas:</w:t>
      </w:r>
    </w:p>
    <w:p>
      <w:pPr>
        <w:pStyle w:val="ListNumber"/>
        <w:keepLines w:val="1"/>
        <w:keepNext w:val="1"/>
        <w:widowControl w:val="1"/>
      </w:pPr>
      <w:r>
        <w:t xml:space="preserve">Identificar si una práctica existe, no existe, o existe “a medias”, con opción de ironía controlada para facilitar la honestidad.  </w:t>
      </w:r>
    </w:p>
    <w:p>
      <w:pPr>
        <w:pStyle w:val="ListNumber"/>
        <w:keepLines w:val="1"/>
        <w:keepNext w:val="1"/>
        <w:widowControl w:val="1"/>
      </w:pPr>
      <w:r>
        <w:t xml:space="preserve">Ubicar la práctica en un nivel de madurez: desde el heroísmo improvisado hasta la excelencia aburridamente sistemática.  </w:t>
      </w:r>
    </w:p>
    <w:p>
      <w:pPr>
        <w:pStyle w:val="ListNumber"/>
        <w:keepLines w:val="1"/>
        <w:widowControl w:val="1"/>
      </w:pPr>
      <w:r>
        <w:t>Permitir una puntuación cuantitativa que luego se integrará en índices como el IGM (Índice Global de Madurez).</w:t>
      </w:r>
    </w:p>
    <w:p>
      <w:r>
        <w:t xml:space="preserve">No se trata de aprobar exámenes, sino de construir un </w:t>
      </w:r>
      <w:r>
        <w:rPr>
          <w:b/>
        </w:rPr>
        <w:t>diagnóstico accionable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No pasa nada por marcar opciones bajas si reflejan la realidad.  </w:t>
      </w:r>
    </w:p>
    <w:p>
      <w:pPr>
        <w:pStyle w:val="ListBullet"/>
        <w:keepLines w:val="1"/>
        <w:keepNext w:val="1"/>
        <w:widowControl w:val="1"/>
      </w:pPr>
      <w:r>
        <w:t xml:space="preserve">Forzar respuestas “optimistas” sólo sirve para engañar a la hoja de cálculo, no a los atacantes.  </w:t>
      </w:r>
    </w:p>
    <w:p>
      <w:pPr>
        <w:pStyle w:val="ListBullet"/>
        <w:keepLines w:val="1"/>
        <w:widowControl w:val="1"/>
      </w:pPr>
      <w:r>
        <w:t>Las opciones con cierto humor no son un chiste: están ahí para aliviar la gravedad del tema, no para restarle importancia.</w:t>
      </w:r>
    </w:p>
    <w:p>
      <w:pPr>
        <w:pStyle w:val="Heading2"/>
        <w:keepNext/>
        <w:keepLines/>
      </w:pPr>
      <w:r>
        <w:rPr>
          <w:color w:val="0066CC"/>
        </w:rPr>
        <w:t>4. Estructura narrativa de los bloques</w:t>
      </w:r>
    </w:p>
    <w:p>
      <w:pPr>
        <w:pStyle w:val="Heading3"/>
        <w:keepNext/>
        <w:keepLines/>
      </w:pPr>
      <w:r>
        <w:t>4.1. Gobernanza y cultura</w:t>
      </w:r>
    </w:p>
    <w:p>
      <w:r>
        <w:t>Estas preguntas responden a “¿quién manda aquí?” y “¿qué importancia se le da realmente a la ciberseguridad?”. No hay tecnología que compense una gobernanza ausente. Por eso se pregunta por:</w:t>
      </w:r>
    </w:p>
    <w:p>
      <w:pPr>
        <w:pStyle w:val="ListBullet"/>
        <w:keepLines w:val="1"/>
        <w:keepNext w:val="1"/>
        <w:widowControl w:val="1"/>
      </w:pPr>
      <w:r>
        <w:t xml:space="preserve">Estrategia formal.  </w:t>
      </w:r>
    </w:p>
    <w:p>
      <w:pPr>
        <w:pStyle w:val="ListBullet"/>
        <w:keepLines w:val="1"/>
        <w:keepNext w:val="1"/>
        <w:widowControl w:val="1"/>
      </w:pPr>
      <w:r>
        <w:t xml:space="preserve">Implicación del órgano de gobierno.  </w:t>
      </w:r>
    </w:p>
    <w:p>
      <w:pPr>
        <w:pStyle w:val="ListBullet"/>
        <w:keepLines w:val="1"/>
        <w:keepNext w:val="1"/>
        <w:widowControl w:val="1"/>
      </w:pPr>
      <w:r>
        <w:t xml:space="preserve">Existencia de un responsable claro (CISO o equivalente).  </w:t>
      </w:r>
    </w:p>
    <w:p>
      <w:pPr>
        <w:pStyle w:val="ListBullet"/>
        <w:keepLines w:val="1"/>
        <w:widowControl w:val="1"/>
      </w:pPr>
      <w:r>
        <w:t>Alineación con el mapa global de riesgos.</w:t>
      </w:r>
    </w:p>
    <w:p>
      <w:pPr>
        <w:pStyle w:val="Heading3"/>
        <w:keepNext/>
        <w:keepLines/>
      </w:pPr>
      <w:r>
        <w:t>4.2. Marcos de referencia</w:t>
      </w:r>
    </w:p>
    <w:p>
      <w:r>
        <w:t>Este bloque indaga en el “idioma” de la organización:</w:t>
      </w:r>
    </w:p>
    <w:p>
      <w:pPr>
        <w:pStyle w:val="ListBullet"/>
        <w:keepLines w:val="1"/>
        <w:keepNext w:val="1"/>
        <w:widowControl w:val="1"/>
      </w:pPr>
      <w:r>
        <w:t xml:space="preserve">¿Trabaja con NIST, CMMC, ENS, ISO, todo lo anterior o nada de lo anterior?  </w:t>
      </w:r>
    </w:p>
    <w:p>
      <w:pPr>
        <w:pStyle w:val="ListBullet"/>
        <w:keepLines w:val="1"/>
        <w:widowControl w:val="1"/>
      </w:pPr>
      <w:r>
        <w:t>¿Ha hecho autoevaluaciones, mapeos, o vive en estado de yuxtaposición normativa?</w:t>
      </w:r>
    </w:p>
    <w:p>
      <w:r>
        <w:t xml:space="preserve">Aquí no hay respuestas correctas universales, pero sí se detecta el grado de </w:t>
      </w:r>
      <w:r>
        <w:rPr>
          <w:b/>
        </w:rPr>
        <w:t>alineación con buenas prácticas internacionales</w:t>
      </w:r>
      <w:r>
        <w:t>.</w:t>
      </w:r>
    </w:p>
    <w:p>
      <w:pPr>
        <w:pStyle w:val="Heading3"/>
        <w:keepNext/>
        <w:keepLines/>
      </w:pPr>
      <w:r>
        <w:t>4.3. Controles técnicos y operaciones</w:t>
      </w:r>
    </w:p>
    <w:p>
      <w:r>
        <w:t>Los bloques de activos, vulnerabilidades, accesos, protección de datos, monitorización y respuesta son el “esqueleto técnico” de la encuesta. Se exploran aspectos como:</w:t>
      </w:r>
    </w:p>
    <w:p>
      <w:pPr>
        <w:pStyle w:val="ListBullet"/>
        <w:keepLines w:val="1"/>
        <w:keepNext w:val="1"/>
        <w:widowControl w:val="1"/>
      </w:pPr>
      <w:r>
        <w:t xml:space="preserve">Visibilidad de activos.  </w:t>
      </w:r>
    </w:p>
    <w:p>
      <w:pPr>
        <w:pStyle w:val="ListBullet"/>
        <w:keepLines w:val="1"/>
        <w:keepNext w:val="1"/>
        <w:widowControl w:val="1"/>
      </w:pPr>
      <w:r>
        <w:t xml:space="preserve">Velocidad de parcheado.  </w:t>
      </w:r>
    </w:p>
    <w:p>
      <w:pPr>
        <w:pStyle w:val="ListBullet"/>
        <w:keepLines w:val="1"/>
        <w:keepNext w:val="1"/>
        <w:widowControl w:val="1"/>
      </w:pPr>
      <w:r>
        <w:t xml:space="preserve">Uso de MFA y gestión de identidades.  </w:t>
      </w:r>
    </w:p>
    <w:p>
      <w:pPr>
        <w:pStyle w:val="ListBullet"/>
        <w:keepLines w:val="1"/>
        <w:keepNext w:val="1"/>
        <w:widowControl w:val="1"/>
      </w:pPr>
      <w:r>
        <w:t xml:space="preserve">Cifrado y control de exfiltración.  </w:t>
      </w:r>
    </w:p>
    <w:p>
      <w:pPr>
        <w:pStyle w:val="ListBullet"/>
        <w:keepLines w:val="1"/>
        <w:widowControl w:val="1"/>
      </w:pPr>
      <w:r>
        <w:t>Capacidad de detección y respuesta, métricas incluidas.</w:t>
      </w:r>
    </w:p>
    <w:p>
      <w:r>
        <w:t>En términos de CMMC/NIST, aquí se cruzan varias familias de controles fundamentales.</w:t>
      </w:r>
    </w:p>
    <w:p>
      <w:pPr>
        <w:pStyle w:val="Heading3"/>
        <w:keepNext/>
        <w:keepLines/>
      </w:pPr>
      <w:r>
        <w:t>4.4. Proveedores, documentación y métricas</w:t>
      </w:r>
    </w:p>
    <w:p>
      <w:r>
        <w:t>Porque ninguna organización es una isla:</w:t>
      </w:r>
    </w:p>
    <w:p>
      <w:pPr>
        <w:pStyle w:val="ListBullet"/>
        <w:keepLines w:val="1"/>
        <w:keepNext w:val="1"/>
        <w:widowControl w:val="1"/>
      </w:pPr>
      <w:r>
        <w:t xml:space="preserve">Los proveedores pueden ser eslabón fuerte o eslabón débil.  </w:t>
      </w:r>
    </w:p>
    <w:p>
      <w:pPr>
        <w:pStyle w:val="ListBullet"/>
        <w:keepLines w:val="1"/>
        <w:keepNext w:val="1"/>
        <w:widowControl w:val="1"/>
      </w:pPr>
      <w:r>
        <w:t xml:space="preserve">La documentación (SSP, POA&amp;M, evidencias) es lo que transforma las buenas intenciones en algo auditable.  </w:t>
      </w:r>
    </w:p>
    <w:p>
      <w:pPr>
        <w:pStyle w:val="ListBullet"/>
        <w:keepLines w:val="1"/>
        <w:widowControl w:val="1"/>
      </w:pPr>
      <w:r>
        <w:t>Las métricas son el lenguaje que conecta ciberseguridad con estrategia, finanzas y riesgo.</w:t>
      </w:r>
    </w:p>
    <w:p>
      <w:r>
        <w:t>Por eso hay preguntas específicas sobre requisitos contractuales, evaluación periódica de terceros y existencia de índices internos.</w:t>
      </w:r>
    </w:p>
    <w:p>
      <w:pPr>
        <w:pStyle w:val="Heading2"/>
        <w:keepNext/>
        <w:keepLines/>
      </w:pPr>
      <w:r>
        <w:rPr>
          <w:color w:val="0066CC"/>
        </w:rPr>
        <w:t>5. Lo que la encuesta no es (ni pretende ser)</w:t>
      </w:r>
    </w:p>
    <w:p>
      <w:r>
        <w:t xml:space="preserve">La encuesta </w:t>
      </w:r>
      <w:r>
        <w:rPr>
          <w:b/>
        </w:rPr>
        <w:t>no es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Una auditoría certificadora en sentido estricto.  </w:t>
      </w:r>
    </w:p>
    <w:p>
      <w:pPr>
        <w:pStyle w:val="ListBullet"/>
        <w:keepLines w:val="1"/>
        <w:keepNext w:val="1"/>
        <w:widowControl w:val="1"/>
      </w:pPr>
      <w:r>
        <w:t xml:space="preserve">Un sustituto de ensayos técnicos, pentests o supervisión regulatoria.  </w:t>
      </w:r>
    </w:p>
    <w:p>
      <w:pPr>
        <w:pStyle w:val="ListBullet"/>
        <w:keepLines w:val="1"/>
        <w:widowControl w:val="1"/>
      </w:pPr>
      <w:r>
        <w:t>Un atajo mágico para lograr CMMC Nivel 3 o el Nirvana ENS Alto.</w:t>
      </w:r>
    </w:p>
    <w:p>
      <w:r>
        <w:t xml:space="preserve">La encuesta </w:t>
      </w:r>
      <w:r>
        <w:rPr>
          <w:b/>
        </w:rPr>
        <w:t>sí pretende ser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Un punto de partida estructurado para conversaciones serias dentro de la organización.  </w:t>
      </w:r>
    </w:p>
    <w:p>
      <w:pPr>
        <w:pStyle w:val="ListBullet"/>
        <w:keepLines w:val="1"/>
        <w:keepNext w:val="1"/>
        <w:widowControl w:val="1"/>
      </w:pPr>
      <w:r>
        <w:t xml:space="preserve">Una capa de sensorización que permita comparar, priorizar y argumentar inversiones.  </w:t>
      </w:r>
    </w:p>
    <w:p>
      <w:pPr>
        <w:pStyle w:val="ListBullet"/>
        <w:keepLines w:val="1"/>
        <w:widowControl w:val="1"/>
      </w:pPr>
      <w:r>
        <w:t>Un puente entre el lenguaje técnico de CMMC/NIST y el lenguaje de negocio y regulación.</w:t>
      </w:r>
    </w:p>
    <w:p>
      <w:pPr>
        <w:pStyle w:val="Heading2"/>
        <w:keepNext/>
        <w:keepLines/>
      </w:pPr>
      <w:r>
        <w:rPr>
          <w:color w:val="0066CC"/>
        </w:rPr>
        <w:t>6. Cómo utilizar los resultados sin autoengañarse</w:t>
      </w:r>
    </w:p>
    <w:p>
      <w:r>
        <w:t>Al recibir los resultados (índices, gráficos, rankings internos o sectoriales), conviene:</w:t>
      </w:r>
    </w:p>
    <w:p>
      <w:pPr>
        <w:pStyle w:val="ListNumber"/>
        <w:keepLines w:val="1"/>
        <w:keepNext w:val="1"/>
        <w:widowControl w:val="1"/>
      </w:pPr>
      <w:r>
        <w:t xml:space="preserve">Evitar tanto la euforia (“somos los mejores de nuestra muestra”) como el fatalismo (“somos los peores, quememos los servidores”).  </w:t>
      </w:r>
    </w:p>
    <w:p>
      <w:pPr>
        <w:pStyle w:val="ListNumber"/>
        <w:keepLines w:val="1"/>
        <w:keepNext w:val="1"/>
        <w:widowControl w:val="1"/>
      </w:pPr>
      <w:r>
        <w:t xml:space="preserve">Mirar con cuidado los bloques más débiles y preguntarse si son coherentes con los riesgos del negocio.  </w:t>
      </w:r>
    </w:p>
    <w:p>
      <w:pPr>
        <w:pStyle w:val="ListNumber"/>
        <w:keepLines w:val="1"/>
        <w:keepNext w:val="1"/>
        <w:widowControl w:val="1"/>
      </w:pPr>
      <w:r>
        <w:t xml:space="preserve">Usar los resultados para construir una hoja de ruta priorizada, no una colección de proyectos inconexos.  </w:t>
      </w:r>
    </w:p>
    <w:p>
      <w:pPr>
        <w:pStyle w:val="ListNumber"/>
        <w:keepLines w:val="1"/>
        <w:widowControl w:val="1"/>
      </w:pPr>
      <w:r>
        <w:t>Volver a repetir la encuesta en el tiempo (por ejemplo, anual) para medir la evolución real, más allá de presentaciones estivales.</w:t>
      </w:r>
    </w:p>
    <w:p>
      <w:pPr>
        <w:pStyle w:val="Heading2"/>
        <w:keepNext/>
        <w:keepLines/>
      </w:pPr>
      <w:r>
        <w:rPr>
          <w:color w:val="0066CC"/>
        </w:rPr>
        <w:t>7. Y ahora, ¿qué?</w:t>
      </w:r>
    </w:p>
    <w:p>
      <w:r>
        <w:t>Si has llegado hasta aquí, tienes tres opciones:</w:t>
      </w:r>
    </w:p>
    <w:p>
      <w:pPr>
        <w:pStyle w:val="ListBullet"/>
        <w:keepLines w:val="1"/>
        <w:keepNext w:val="1"/>
        <w:widowControl w:val="1"/>
      </w:pPr>
      <w:r>
        <w:t xml:space="preserve">Aplicar la encuesta tal cual, y empezar a construir tu propia serie histórica de madurez.  </w:t>
      </w:r>
    </w:p>
    <w:p>
      <w:pPr>
        <w:pStyle w:val="ListBullet"/>
        <w:keepLines w:val="1"/>
        <w:keepNext w:val="1"/>
        <w:widowControl w:val="1"/>
      </w:pPr>
      <w:r>
        <w:t xml:space="preserve">Adaptarla a tu sector (sanidad, industria exportadora, administración local, etc.), afinando algunos bloques.  </w:t>
      </w:r>
    </w:p>
    <w:p>
      <w:pPr>
        <w:pStyle w:val="ListBullet"/>
        <w:keepLines w:val="1"/>
        <w:widowControl w:val="1"/>
      </w:pPr>
      <w:r>
        <w:t>Usarla como excusa para iniciar, con cierta elegancia, una conversación con dirección sobre dónde estáis y adónde queréis llegar.</w:t>
      </w:r>
    </w:p>
    <w:p>
      <w:r>
        <w:t>En todo caso, la encuesta quiere acompañar, no sentenciar. A partir de las respuestas, el verdadero trabajo empieza después.</w:t>
      </w:r>
    </w:p>
    <w:p>
      <w:r>
        <w:rPr>
          <w:i/>
        </w:rPr>
        <w:t>Fin de la Narrativa Explicativa.</w:t>
      </w:r>
      <w:r/>
      <w:r>
        <w:br/>
      </w:r>
      <w:r>
        <w:rPr>
          <w:i/>
        </w:rPr>
        <w:t>La realidad seguirá ahí cuando cierres este documento; la diferencia es si decides medirla.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