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Excel para Cálculo de IGM y ROI (Versión GQM + PRAGMATIC)</w:t>
      </w:r>
    </w:p>
    <w:p>
      <w:r>
        <w:t>Esta plantilla extiende la anterior incorporando campos para Objetivos GQM y puntuaciones PRAGMATIC por métrica.</w:t>
      </w:r>
    </w:p>
    <w:p>
      <w:pPr>
        <w:pStyle w:val="Heading2"/>
        <w:keepNext/>
        <w:keepLines/>
      </w:pPr>
      <w:r>
        <w:rPr>
          <w:color w:val="0066CC"/>
        </w:rPr>
        <w:t>1. Hojas recomendadas</w:t>
      </w:r>
    </w:p>
    <w:p>
      <w:pPr>
        <w:pStyle w:val="ListNumber"/>
        <w:keepLines w:val="1"/>
        <w:keepNext w:val="1"/>
        <w:widowControl w:val="1"/>
      </w:pPr>
      <w:r>
        <w:t xml:space="preserve">Respuestas – Respuestas a la encuesta (igual que antes).  </w:t>
      </w:r>
    </w:p>
    <w:p>
      <w:pPr>
        <w:pStyle w:val="ListNumber"/>
        <w:keepLines w:val="1"/>
        <w:keepNext w:val="1"/>
        <w:widowControl w:val="1"/>
      </w:pPr>
      <w:r>
        <w:t xml:space="preserve">Ponderaciones – Puntuación de respuestas, pesos por bloque.  </w:t>
      </w:r>
    </w:p>
    <w:p>
      <w:pPr>
        <w:pStyle w:val="ListNumber"/>
        <w:keepLines w:val="1"/>
        <w:keepNext w:val="1"/>
        <w:widowControl w:val="1"/>
      </w:pPr>
      <w:r>
        <w:t xml:space="preserve">GQM_Metrics – Catálogo de métricas con su G, Q, M.  </w:t>
      </w:r>
    </w:p>
    <w:p>
      <w:pPr>
        <w:pStyle w:val="ListNumber"/>
        <w:keepLines w:val="1"/>
        <w:keepNext w:val="1"/>
        <w:widowControl w:val="1"/>
      </w:pPr>
      <w:r>
        <w:t xml:space="preserve">PRAGMATIC – Puntuación de calidad por métrica.  </w:t>
      </w:r>
    </w:p>
    <w:p>
      <w:pPr>
        <w:pStyle w:val="ListNumber"/>
        <w:keepLines w:val="1"/>
        <w:keepNext w:val="1"/>
        <w:widowControl w:val="1"/>
      </w:pPr>
      <w:r>
        <w:t xml:space="preserve">IGM – Cálculo de índice global y parciales.  </w:t>
      </w:r>
    </w:p>
    <w:p>
      <w:pPr>
        <w:pStyle w:val="ListNumber"/>
        <w:keepLines w:val="1"/>
        <w:keepNext w:val="1"/>
        <w:widowControl w:val="1"/>
      </w:pPr>
      <w:r>
        <w:t xml:space="preserve">ROI – Cálculo de retorno de inversión.  </w:t>
      </w:r>
    </w:p>
    <w:p>
      <w:pPr>
        <w:pStyle w:val="ListNumber"/>
        <w:keepLines w:val="1"/>
        <w:widowControl w:val="1"/>
      </w:pPr>
      <w:r>
        <w:t>Dashboards – Cuadros de mando.</w:t>
      </w:r>
    </w:p>
    <w:p>
      <w:pPr>
        <w:pStyle w:val="Heading2"/>
        <w:keepNext/>
        <w:keepLines/>
      </w:pPr>
      <w:r>
        <w:rPr>
          <w:color w:val="0066CC"/>
        </w:rPr>
        <w:t>2. Hoja “GQM_Metrics”</w:t>
      </w:r>
    </w:p>
    <w:p>
      <w:r>
        <w:t>Columnas sugeridas: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ID_Métrica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Objetivo_G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Pregunta_Q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Fórmula_M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Bloque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Referencias_normativas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/>
          </w:p>
        </w:tc>
        <w:tc>
          <w:tcPr>
            <w:tcW w:type="dxa" w:w="1337"/>
          </w:tcPr>
          <w:p>
            <w:pPr>
              <w:keepLines w:val="1"/>
            </w:pPr>
            <w:r/>
          </w:p>
        </w:tc>
        <w:tc>
          <w:tcPr>
            <w:tcW w:type="dxa" w:w="1337"/>
          </w:tcPr>
          <w:p>
            <w:pPr>
              <w:keepLines w:val="1"/>
            </w:pPr>
            <w:r/>
          </w:p>
        </w:tc>
        <w:tc>
          <w:tcPr>
            <w:tcW w:type="dxa" w:w="1337"/>
          </w:tcPr>
          <w:p>
            <w:pPr>
              <w:keepLines w:val="1"/>
            </w:pPr>
            <w:r/>
          </w:p>
        </w:tc>
        <w:tc>
          <w:tcPr>
            <w:tcW w:type="dxa" w:w="1337"/>
          </w:tcPr>
          <w:p>
            <w:pPr>
              <w:keepLines w:val="1"/>
            </w:pPr>
            <w:r/>
          </w:p>
        </w:tc>
        <w:tc>
          <w:tcPr>
            <w:tcW w:type="dxa" w:w="1337"/>
          </w:tcPr>
          <w:p>
            <w:pPr>
              <w:keepLines w:val="1"/>
            </w:pPr>
            <w:r/>
          </w:p>
        </w:tc>
        <w:tc>
          <w:tcPr>
            <w:tcW w:type="dxa" w:w="1337"/>
          </w:tcPr>
          <w:p>
            <w:pPr>
              <w:keepLines w:val="1"/>
            </w:pPr>
            <w:r/>
          </w:p>
        </w:tc>
      </w:tr>
    </w:tbl>
    <w:p/>
    <w:p>
      <w:r>
        <w:t>Ejemplos:</w:t>
      </w:r>
    </w:p>
    <w:p>
      <w:pPr>
        <w:pStyle w:val="ListBullet"/>
        <w:keepLines w:val="1"/>
        <w:keepNext w:val="1"/>
        <w:widowControl w:val="1"/>
      </w:pPr>
      <w:r>
        <w:t xml:space="preserve">M1_%_Cuentas_criticas_MFA, Objetivo G1 (control de accesos críticos), etc.  </w:t>
      </w:r>
    </w:p>
    <w:p>
      <w:pPr>
        <w:pStyle w:val="ListBullet"/>
        <w:keepLines w:val="1"/>
        <w:keepNext w:val="1"/>
        <w:widowControl w:val="1"/>
      </w:pPr>
      <w:r>
        <w:t xml:space="preserve">M2_MTTP_critico, Objetivo G2 (ventana de exposición).  </w:t>
      </w:r>
    </w:p>
    <w:p>
      <w:pPr>
        <w:pStyle w:val="ListBullet"/>
        <w:keepLines w:val="1"/>
        <w:widowControl w:val="1"/>
      </w:pPr>
      <w:r>
        <w:t>M3_MTTD_incidentes, Objetivo G3 (detección temprana), etc.</w:t>
      </w:r>
    </w:p>
    <w:p>
      <w:r>
        <w:t>Esto documenta el “por qué” de cada métrica en el propio Excel.</w:t>
      </w:r>
    </w:p>
    <w:p>
      <w:pPr>
        <w:pStyle w:val="Heading2"/>
        <w:keepNext/>
        <w:keepLines/>
      </w:pPr>
      <w:r>
        <w:rPr>
          <w:color w:val="0066CC"/>
        </w:rPr>
        <w:t>3. Hoja “PRAGMATIC”</w:t>
      </w:r>
    </w:p>
    <w:p>
      <w:r>
        <w:t>Columnas: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 w:val="1"/>
        </w:trPr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ID_Métrica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A_c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Usar_en_IGM (Sí/No)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</w:pPr>
            <w:r/>
          </w:p>
        </w:tc>
        <w:tc>
          <w:tcPr>
            <w:tcW w:type="dxa" w:w="720"/>
          </w:tcPr>
          <w:p>
            <w:pPr>
              <w:keepLines w:val="1"/>
            </w:pPr>
            <w:r/>
          </w:p>
        </w:tc>
        <w:tc>
          <w:tcPr>
            <w:tcW w:type="dxa" w:w="720"/>
          </w:tcPr>
          <w:p>
            <w:pPr>
              <w:keepLines w:val="1"/>
            </w:pPr>
            <w:r/>
          </w:p>
        </w:tc>
        <w:tc>
          <w:tcPr>
            <w:tcW w:type="dxa" w:w="720"/>
          </w:tcPr>
          <w:p>
            <w:pPr>
              <w:keepLines w:val="1"/>
            </w:pPr>
            <w:r/>
          </w:p>
        </w:tc>
        <w:tc>
          <w:tcPr>
            <w:tcW w:type="dxa" w:w="720"/>
          </w:tcPr>
          <w:p>
            <w:pPr>
              <w:keepLines w:val="1"/>
            </w:pPr>
            <w:r/>
          </w:p>
        </w:tc>
        <w:tc>
          <w:tcPr>
            <w:tcW w:type="dxa" w:w="720"/>
          </w:tcPr>
          <w:p>
            <w:pPr>
              <w:keepLines w:val="1"/>
            </w:pPr>
            <w:r/>
          </w:p>
        </w:tc>
        <w:tc>
          <w:tcPr>
            <w:tcW w:type="dxa" w:w="720"/>
          </w:tcPr>
          <w:p>
            <w:pPr>
              <w:keepLines w:val="1"/>
            </w:pPr>
            <w:r/>
          </w:p>
        </w:tc>
        <w:tc>
          <w:tcPr>
            <w:tcW w:type="dxa" w:w="720"/>
          </w:tcPr>
          <w:p>
            <w:pPr>
              <w:keepLines w:val="1"/>
            </w:pPr>
            <w:r/>
          </w:p>
        </w:tc>
        <w:tc>
          <w:tcPr>
            <w:tcW w:type="dxa" w:w="720"/>
          </w:tcPr>
          <w:p>
            <w:pPr>
              <w:keepLines w:val="1"/>
            </w:pPr>
            <w:r/>
          </w:p>
        </w:tc>
        <w:tc>
          <w:tcPr>
            <w:tcW w:type="dxa" w:w="720"/>
          </w:tcPr>
          <w:p>
            <w:pPr>
              <w:keepLines w:val="1"/>
            </w:pPr>
            <w:r/>
          </w:p>
        </w:tc>
        <w:tc>
          <w:tcPr>
            <w:tcW w:type="dxa" w:w="720"/>
          </w:tcPr>
          <w:p>
            <w:pPr>
              <w:keepLines w:val="1"/>
            </w:pPr>
            <w:r/>
          </w:p>
        </w:tc>
        <w:tc>
          <w:tcPr>
            <w:tcW w:type="dxa" w:w="720"/>
          </w:tcPr>
          <w:p>
            <w:pPr>
              <w:keepLines w:val="1"/>
            </w:pPr>
            <w:r/>
          </w:p>
        </w:tc>
        <w:tc>
          <w:tcPr>
            <w:tcW w:type="dxa" w:w="720"/>
          </w:tcPr>
          <w:p>
            <w:pPr>
              <w:keepLines w:val="1"/>
            </w:pPr>
            <w:r/>
          </w:p>
        </w:tc>
      </w:tr>
    </w:tbl>
    <w:p/>
    <w:p>
      <w:r>
        <w:t xml:space="preserve">El campo </w:t>
      </w:r>
      <w:r>
        <w:rPr>
          <w:rFonts w:ascii="Courier New" w:hAnsi="Courier New"/>
          <w:sz w:val="18"/>
        </w:rPr>
        <w:t>Usar_en_IGM</w:t>
      </w:r>
      <w:r>
        <w:t xml:space="preserve"> permite excluir del cálculo global aquellas métricas con baja calidad PRAGMATIC (por ejemplo, Total &lt; 30).</w:t>
      </w:r>
    </w:p>
    <w:p>
      <w:pPr>
        <w:pStyle w:val="Heading2"/>
        <w:keepNext/>
        <w:keepLines/>
      </w:pPr>
      <w:r>
        <w:rPr>
          <w:color w:val="0066CC"/>
        </w:rPr>
        <w:t>4. Hoja “IGM”</w:t>
      </w:r>
    </w:p>
    <w:p>
      <w:r>
        <w:t>Igual que en la versión anterior, pero:</w:t>
      </w:r>
    </w:p>
    <w:p>
      <w:pPr>
        <w:pStyle w:val="ListBullet"/>
        <w:keepLines w:val="1"/>
        <w:keepNext w:val="1"/>
        <w:widowControl w:val="1"/>
      </w:pPr>
      <w:r>
        <w:t xml:space="preserve">Se puede construir el IGM sólo a partir de métricas con Usar_en_IGM = Sí.  </w:t>
      </w:r>
    </w:p>
    <w:p>
      <w:pPr>
        <w:pStyle w:val="ListBullet"/>
        <w:keepLines w:val="1"/>
        <w:widowControl w:val="1"/>
      </w:pPr>
      <w:r>
        <w:t>Se puede calcular un “IGM_AltaCalidad” frente a “IGM_Completo” para análisis.</w:t>
      </w:r>
    </w:p>
    <w:p>
      <w:pPr>
        <w:pStyle w:val="Heading2"/>
        <w:keepNext/>
        <w:keepLines/>
      </w:pPr>
      <w:r>
        <w:rPr>
          <w:color w:val="0066CC"/>
        </w:rPr>
        <w:t>5. Hoja “ROI”</w:t>
      </w:r>
    </w:p>
    <w:p>
      <w:r>
        <w:t>Sin cambios conceptuales, pero con posibilidad de:</w:t>
      </w:r>
    </w:p>
    <w:p>
      <w:pPr>
        <w:pStyle w:val="ListBullet"/>
        <w:keepLines w:val="1"/>
        <w:keepNext w:val="1"/>
        <w:widowControl w:val="1"/>
      </w:pPr>
      <w:r>
        <w:t xml:space="preserve">Relacionar la mejora en determinadas métricas (ej. subida del %_Cuentas_criticas_MFA) con reducciones de incidentes y pérdidas.  </w:t>
      </w:r>
    </w:p>
    <w:p>
      <w:pPr>
        <w:pStyle w:val="ListBullet"/>
        <w:keepLines w:val="1"/>
        <w:widowControl w:val="1"/>
      </w:pPr>
      <w:r>
        <w:t>Documentar en comentarios/columnas qué objetivos GQM se han visto más impactados por las inversiones.</w:t>
      </w:r>
    </w:p>
    <w:p>
      <w:pPr>
        <w:pStyle w:val="Heading2"/>
        <w:keepNext/>
        <w:keepLines/>
      </w:pPr>
      <w:r>
        <w:rPr>
          <w:color w:val="0066CC"/>
        </w:rPr>
        <w:t>6. Hoja “Dashboards”</w:t>
      </w:r>
    </w:p>
    <w:p>
      <w:r>
        <w:t>Se recomienda añadir:</w:t>
      </w:r>
    </w:p>
    <w:p>
      <w:pPr>
        <w:pStyle w:val="ListBullet"/>
        <w:keepLines w:val="1"/>
        <w:keepNext w:val="1"/>
        <w:widowControl w:val="1"/>
      </w:pPr>
      <w:r>
        <w:t xml:space="preserve">Gráficos que muestren IGM vs. media total PRAGMATIC de las métricas empleadas.  </w:t>
      </w:r>
    </w:p>
    <w:p>
      <w:pPr>
        <w:pStyle w:val="ListBullet"/>
        <w:keepLines w:val="1"/>
        <w:widowControl w:val="1"/>
      </w:pPr>
      <w:r>
        <w:t>Indicadores que alerten si se usan demasiadas métricas de baja calidad (PRAGMATIC bajo).</w:t>
      </w:r>
    </w:p>
    <w:p>
      <w:r>
        <w:rPr>
          <w:i/>
        </w:rPr>
        <w:t>Esta plantilla permite no sólo calcular índices, sino también justificar por qué ciertas métricas merecen figurar en el cuadro de mando.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