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 en Ciberseguridad</w:t>
      </w:r>
    </w:p>
    <w:p>
      <w:r>
        <w:t>Esta descripción está pensada para que puedas recrear el modelo en Excel (o similar) sin sobresaltos.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 un libro con, al menos, las siguientes hojas:</w:t>
      </w:r>
    </w:p>
    <w:p>
      <w:pPr>
        <w:pStyle w:val="ListNumber"/>
        <w:keepLines w:val="1"/>
        <w:keepNext w:val="1"/>
        <w:widowControl w:val="1"/>
      </w:pPr>
      <w:r>
        <w:t xml:space="preserve">Respuestas – Volcado de las respuestas de la encuesta (por organización).  </w:t>
      </w:r>
    </w:p>
    <w:p>
      <w:pPr>
        <w:pStyle w:val="ListNumber"/>
        <w:keepLines w:val="1"/>
        <w:keepNext w:val="1"/>
        <w:widowControl w:val="1"/>
      </w:pPr>
      <w:r>
        <w:t xml:space="preserve">Ponderaciones – Tabla de pesos por bloque y mapeo de respuestas a puntos.  </w:t>
      </w:r>
    </w:p>
    <w:p>
      <w:pPr>
        <w:pStyle w:val="ListNumber"/>
        <w:keepLines w:val="1"/>
        <w:keepNext w:val="1"/>
        <w:widowControl w:val="1"/>
      </w:pPr>
      <w:r>
        <w:t xml:space="preserve">IGM – Cálculo del Índice Global de Madurez y de índices parciales.  </w:t>
      </w:r>
    </w:p>
    <w:p>
      <w:pPr>
        <w:pStyle w:val="ListNumber"/>
        <w:keepLines w:val="1"/>
        <w:keepNext w:val="1"/>
        <w:widowControl w:val="1"/>
      </w:pPr>
      <w:r>
        <w:t xml:space="preserve">ROI – Cálculo de indicadores económicos y ROI.  </w:t>
      </w:r>
    </w:p>
    <w:p>
      <w:pPr>
        <w:pStyle w:val="ListNumber"/>
        <w:keepLines w:val="1"/>
        <w:widowControl w:val="1"/>
      </w:pPr>
      <w:r>
        <w:t>Dashboards – Gráficos y cuadros de mando ejecutivos.</w:t>
      </w:r>
    </w:p>
    <w:p>
      <w:pPr>
        <w:pStyle w:val="Heading2"/>
        <w:keepNext/>
        <w:keepLines/>
      </w:pPr>
      <w:r>
        <w:rPr>
          <w:color w:val="0066CC"/>
        </w:rPr>
        <w:t>2. Hoja “Respuestas”</w:t>
      </w:r>
    </w:p>
    <w:p>
      <w:r>
        <w:t>Columnas principales:</w:t>
      </w:r>
    </w:p>
    <w:p>
      <w:pPr>
        <w:pStyle w:val="ListBullet"/>
        <w:keepLines w:val="1"/>
        <w:keepNext w:val="1"/>
        <w:widowControl w:val="1"/>
      </w:pPr>
      <w:r>
        <w:t xml:space="preserve">Org_ID – Identificador de la organización (o código anonimizado).  </w:t>
      </w:r>
    </w:p>
    <w:p>
      <w:pPr>
        <w:pStyle w:val="ListBullet"/>
        <w:keepLines w:val="1"/>
        <w:keepNext w:val="1"/>
        <w:widowControl w:val="1"/>
      </w:pPr>
      <w:r>
        <w:t xml:space="preserve">Sector – Sector principal.  </w:t>
      </w:r>
    </w:p>
    <w:p>
      <w:pPr>
        <w:pStyle w:val="ListBullet"/>
        <w:keepLines w:val="1"/>
        <w:keepNext w:val="1"/>
        <w:widowControl w:val="1"/>
      </w:pPr>
      <w:r>
        <w:t xml:space="preserve">Tamaño – Tramo de empleados.  </w:t>
      </w:r>
    </w:p>
    <w:p>
      <w:pPr>
        <w:pStyle w:val="ListBullet"/>
        <w:keepLines w:val="1"/>
        <w:keepNext w:val="1"/>
        <w:widowControl w:val="1"/>
      </w:pPr>
      <w:r>
        <w:t xml:space="preserve">Columnas para cada pregunta, por ejemplo:  </w:t>
      </w:r>
    </w:p>
    <w:p>
      <w:pPr>
        <w:pStyle w:val="ListBullet"/>
        <w:keepLines w:val="1"/>
        <w:widowControl w:val="1"/>
      </w:pPr>
      <w:r>
        <w:t>Q1_1, Q1_2, ..., Q12_3.</w:t>
      </w:r>
    </w:p>
    <w:p>
      <w:r>
        <w:t xml:space="preserve">Cada </w:t>
      </w:r>
      <w:r>
        <w:rPr>
          <w:rFonts w:ascii="Courier New" w:hAnsi="Courier New"/>
          <w:sz w:val="18"/>
        </w:rPr>
        <w:t>Qx_y</w:t>
      </w:r>
      <w:r>
        <w:t xml:space="preserve"> almacenará un </w:t>
      </w:r>
      <w:r>
        <w:rPr>
          <w:b/>
        </w:rPr>
        <w:t>código numérico</w:t>
      </w:r>
      <w:r>
        <w:t xml:space="preserve"> que represente la opción elegida; por ejemplo:</w:t>
      </w:r>
    </w:p>
    <w:p>
      <w:pPr>
        <w:pStyle w:val="ListBullet"/>
        <w:keepLines w:val="1"/>
        <w:keepNext w:val="1"/>
        <w:widowControl w:val="1"/>
      </w:pPr>
      <w:r>
        <w:t xml:space="preserve">0 = inexistente / mínimo.  </w:t>
      </w:r>
    </w:p>
    <w:p>
      <w:pPr>
        <w:pStyle w:val="ListBullet"/>
        <w:keepLines w:val="1"/>
        <w:widowControl w:val="1"/>
      </w:pPr>
      <w:r>
        <w:t>1, 2, 3, 4 = niveles crecientes de madurez o cobertura.</w:t>
      </w:r>
    </w:p>
    <w:p>
      <w:pPr>
        <w:pStyle w:val="Heading2"/>
        <w:keepNext/>
        <w:keepLines/>
      </w:pPr>
      <w:r>
        <w:rPr>
          <w:color w:val="0066CC"/>
        </w:rPr>
        <w:t>3. Hoja “Ponderaciones”</w:t>
      </w:r>
    </w:p>
    <w:p>
      <w:pPr>
        <w:pStyle w:val="Heading3"/>
        <w:keepNext/>
        <w:keepLines/>
      </w:pPr>
      <w:r>
        <w:t>3.1. Tabla de puntuación de respuestas</w:t>
      </w:r>
    </w:p>
    <w:p>
      <w:r>
        <w:t>Para cada pregunta:</w:t>
      </w:r>
    </w:p>
    <w:p>
      <w:pPr>
        <w:pStyle w:val="ListBullet"/>
        <w:keepLines w:val="1"/>
        <w:keepNext w:val="1"/>
        <w:widowControl w:val="1"/>
      </w:pPr>
      <w:r>
        <w:t xml:space="preserve">Columna Pregunta (ej. Q1_1).  </w:t>
      </w:r>
    </w:p>
    <w:p>
      <w:pPr>
        <w:pStyle w:val="ListBullet"/>
        <w:keepLines w:val="1"/>
        <w:keepNext w:val="1"/>
        <w:widowControl w:val="1"/>
      </w:pPr>
      <w:r>
        <w:t xml:space="preserve">Columna Descripción breve.  </w:t>
      </w:r>
    </w:p>
    <w:p>
      <w:pPr>
        <w:pStyle w:val="ListBullet"/>
        <w:keepLines w:val="1"/>
        <w:widowControl w:val="1"/>
      </w:pPr>
      <w:r>
        <w:t>Columnas Opción_0, Opción_1, ... con su puntuación (0–4, 0–5, etc.).</w:t>
      </w:r>
    </w:p>
    <w:p>
      <w: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opción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Q4_2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0–20 % cuentas críticas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Q4_2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21–50 %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Q4_2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51–80 %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Q4_2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81–95 %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Q4_2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96–100 %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</w:t>
            </w:r>
          </w:p>
        </w:tc>
      </w:tr>
    </w:tbl>
    <w:p/>
    <w:p>
      <w:pPr>
        <w:pStyle w:val="Heading3"/>
        <w:keepNext/>
        <w:keepLines/>
      </w:pPr>
      <w:r>
        <w:t>3.2. Tabla de ponderaciones por bloque</w:t>
      </w:r>
    </w:p>
    <w:p>
      <w:r>
        <w:t>Definir: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preguntas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Peso_Bloque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Q1_1–Q1_5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Q2_1–Q2_4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Activos y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Q3_1–Q3_4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Accesos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Q4_1–Q4_3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Q5_1–Q5_4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Monitorización y respuesta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Q6_1–Q6_4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Formación y cultura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Q7_1–Q7_4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Proveedores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Q8_1–Q8_3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Q9_1–Q9_3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Q10_1–Q10_3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Inversión y ROI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Q11_1–Q11_3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Percepción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Q12_1–Q12_3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0,0 (opcional, sólo analítica cualitativa)</w:t>
            </w:r>
          </w:p>
        </w:tc>
      </w:tr>
    </w:tbl>
    <w:p/>
    <w:p>
      <w:r>
        <w:t>Los pesos pueden ajustarse según sector.</w:t>
      </w:r>
    </w:p>
    <w:p>
      <w:pPr>
        <w:pStyle w:val="Heading2"/>
        <w:keepNext/>
        <w:keepLines/>
      </w:pPr>
      <w:r>
        <w:rPr>
          <w:color w:val="0066CC"/>
        </w:rPr>
        <w:t>4. Hoja “IGM”</w:t>
      </w:r>
    </w:p>
    <w:p>
      <w:pPr>
        <w:pStyle w:val="Heading3"/>
        <w:keepNext/>
        <w:keepLines/>
      </w:pPr>
      <w:r>
        <w:t>4.1. Cálculo de puntuación por pregunta</w:t>
      </w:r>
    </w:p>
    <w:p>
      <w:r>
        <w:t xml:space="preserve">En esta hoja, mediante funciones </w:t>
      </w:r>
      <w:r>
        <w:rPr>
          <w:rFonts w:ascii="Courier New" w:hAnsi="Courier New"/>
          <w:sz w:val="18"/>
        </w:rPr>
        <w:t>BUSCARV</w:t>
      </w:r>
      <w:r>
        <w:t xml:space="preserve"> / </w:t>
      </w:r>
      <w:r>
        <w:rPr>
          <w:rFonts w:ascii="Courier New" w:hAnsi="Courier New"/>
          <w:sz w:val="18"/>
        </w:rPr>
        <w:t>XLOOKUP</w:t>
      </w:r>
      <w:r>
        <w:t>, se traduce:</w:t>
      </w:r>
    </w:p>
    <w:p>
      <w:pPr>
        <w:pStyle w:val="ListBullet"/>
        <w:keepLines w:val="1"/>
        <w:widowControl w:val="1"/>
      </w:pPr>
      <w:r>
        <w:t>Qx_y (código) → Puntuación_Qx_y.</w:t>
      </w:r>
    </w:p>
    <w:p>
      <w:r>
        <w:t xml:space="preserve">Por ejemplo, en una columna </w:t>
      </w:r>
      <w:r>
        <w:rPr>
          <w:rFonts w:ascii="Courier New" w:hAnsi="Courier New"/>
          <w:sz w:val="18"/>
        </w:rPr>
        <w:t>P_Q1_1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=BUSCARV(Respuestas!Q1_1; Ponderaciones!Tabla_Puntuaciones;4;FALSO)</w:t>
        <w:br/>
      </w:r>
    </w:p>
    <w:p>
      <w:pPr>
        <w:pStyle w:val="Heading3"/>
        <w:keepNext/>
        <w:keepLines/>
      </w:pPr>
      <w:r>
        <w:t>4.2. Cálculo de puntuación por bloque</w:t>
      </w:r>
    </w:p>
    <w:p>
      <w:r>
        <w:t>Para cada bloque:</w:t>
      </w:r>
    </w:p>
    <w:p>
      <w:pPr>
        <w:pStyle w:val="ListNumber"/>
        <w:keepLines w:val="1"/>
        <w:keepNext w:val="1"/>
        <w:widowControl w:val="1"/>
      </w:pPr>
      <w:r>
        <w:t xml:space="preserve">Calcular la media de puntuación de sus preguntas.  </w:t>
      </w:r>
    </w:p>
    <w:p>
      <w:pPr>
        <w:pStyle w:val="ListNumber"/>
        <w:keepLines w:val="1"/>
        <w:widowControl w:val="1"/>
      </w:pPr>
      <w:r>
        <w:t>Normalizar esa media a un rango 0–1 (por ejemplo, puntuación máxima teórica / real).</w:t>
      </w:r>
    </w:p>
    <w:p>
      <w:r>
        <w:t>Ejemplo (bloque Gobernanza, 5 preguntas con máximo 4 puntos):</w:t>
      </w:r>
    </w:p>
    <w:p>
      <w:pPr>
        <w:pStyle w:val="ListBullet"/>
        <w:keepLines w:val="1"/>
        <w:keepNext w:val="1"/>
        <w:widowControl w:val="1"/>
      </w:pPr>
      <w:r>
        <w:t xml:space="preserve">Punt_Gobernanza = PROMEDIO(P_Q1_1:P_Q1_5) </w:t>
      </w:r>
    </w:p>
    <w:p>
      <w:pPr>
        <w:pStyle w:val="ListBullet"/>
        <w:keepLines w:val="1"/>
        <w:widowControl w:val="1"/>
      </w:pPr>
      <w:r>
        <w:t>Norm_Gobernanza = Punt_Gobernanza / 4</w:t>
      </w:r>
    </w:p>
    <w:p>
      <w:pPr>
        <w:pStyle w:val="Heading3"/>
        <w:keepNext/>
        <w:keepLines/>
      </w:pPr>
      <w:r>
        <w:t>4.3. Cálculo del Índice Global de Madurez (IGM)</w:t>
      </w:r>
    </w:p>
    <w:p>
      <w:r>
        <w:t>Para cada organización: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SUMPRODUCT( {Norm_Gobernanza; Norm_Marcos; ...}; {Peso_Gobernanza; Peso_Marcos; ...} ) * 100</w:t>
        <w:br/>
      </w:r>
    </w:p>
    <w:p>
      <w:r>
        <w:t xml:space="preserve">De este modo, </w:t>
      </w:r>
      <w:r>
        <w:rPr>
          <w:rFonts w:ascii="Courier New" w:hAnsi="Courier New"/>
          <w:sz w:val="18"/>
        </w:rPr>
        <w:t>IGM</w:t>
      </w:r>
      <w:r>
        <w:t xml:space="preserve"> queda en escala 0–100.</w:t>
      </w:r>
    </w:p>
    <w:p>
      <w:pPr>
        <w:pStyle w:val="Heading3"/>
        <w:keepNext/>
        <w:keepLines/>
      </w:pPr>
      <w:r>
        <w:t>4.4. Índices parciales</w:t>
      </w:r>
    </w:p>
    <w:p>
      <w:r>
        <w:t>Definir, por ejemplo:</w:t>
      </w:r>
    </w:p>
    <w:p>
      <w:pPr>
        <w:pStyle w:val="ListBullet"/>
        <w:keepLines w:val="1"/>
        <w:keepNext w:val="1"/>
        <w:widowControl w:val="1"/>
      </w:pPr>
      <w:r>
        <w:t xml:space="preserve">IGC (Gobernanza y Cultura) = combinación de bloques 1, 2, 7, 10, 11.  </w:t>
      </w:r>
    </w:p>
    <w:p>
      <w:pPr>
        <w:pStyle w:val="ListBullet"/>
        <w:keepLines w:val="1"/>
        <w:keepNext w:val="1"/>
        <w:widowControl w:val="1"/>
      </w:pPr>
      <w:r>
        <w:t xml:space="preserve">ITEC (Técnico) = combinación de bloques 3, 4, 5, 6.  </w:t>
      </w:r>
    </w:p>
    <w:p>
      <w:pPr>
        <w:pStyle w:val="ListBullet"/>
        <w:keepLines w:val="1"/>
        <w:keepNext w:val="1"/>
        <w:widowControl w:val="1"/>
      </w:pPr>
      <w:r>
        <w:t xml:space="preserve">ICAS (Cadena de Suministro) = bloque 8.  </w:t>
      </w:r>
    </w:p>
    <w:p>
      <w:pPr>
        <w:pStyle w:val="ListBullet"/>
        <w:keepLines w:val="1"/>
        <w:widowControl w:val="1"/>
      </w:pPr>
      <w:r>
        <w:t>IRES (Resiliencia) = bloques 6, 9, 10.</w:t>
      </w:r>
    </w:p>
    <w:p>
      <w:r>
        <w:t>Cada uno se calcula con la misma lógica: media ponderada de bloques relevantes, escalada a 0–100.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pPr>
        <w:pStyle w:val="Heading3"/>
        <w:keepNext/>
        <w:keepLines/>
      </w:pPr>
      <w:r>
        <w:t>5.1. Entradas necesarias</w:t>
      </w:r>
    </w:p>
    <w:p>
      <w:r>
        <w:t>Por organización y periodo (ej. año):</w:t>
      </w:r>
    </w:p>
    <w:p>
      <w:pPr>
        <w:pStyle w:val="ListBullet"/>
        <w:keepLines w:val="1"/>
        <w:keepNext w:val="1"/>
        <w:widowControl w:val="1"/>
      </w:pPr>
      <w:r>
        <w:t xml:space="preserve">IGM_t0 – IGM en el año base.  </w:t>
      </w:r>
    </w:p>
    <w:p>
      <w:pPr>
        <w:pStyle w:val="ListBullet"/>
        <w:keepLines w:val="1"/>
        <w:keepNext w:val="1"/>
        <w:widowControl w:val="1"/>
      </w:pPr>
      <w:r>
        <w:t xml:space="preserve">IGM_t1 – IGM en el año actual.  </w:t>
      </w:r>
    </w:p>
    <w:p>
      <w:pPr>
        <w:pStyle w:val="ListBullet"/>
        <w:keepLines w:val="1"/>
        <w:keepNext w:val="1"/>
        <w:widowControl w:val="1"/>
      </w:pPr>
      <w:r>
        <w:t xml:space="preserve">Coste_Ciber_t1 – Inversión en ciberseguridad en el periodo.  </w:t>
      </w:r>
    </w:p>
    <w:p>
      <w:pPr>
        <w:pStyle w:val="ListBullet"/>
        <w:keepLines w:val="1"/>
        <w:keepNext w:val="1"/>
        <w:widowControl w:val="1"/>
      </w:pPr>
      <w:r>
        <w:t xml:space="preserve">Incidentes_t0, Incidentes_t1 – Número / coste de incidentes relevantes.  </w:t>
      </w:r>
    </w:p>
    <w:p>
      <w:pPr>
        <w:pStyle w:val="ListBullet"/>
        <w:keepLines w:val="1"/>
        <w:widowControl w:val="1"/>
      </w:pPr>
      <w:r>
        <w:t xml:space="preserve">Pérdidas_t0, Pérdidas_t1 – Coste económico de incidentes (en euros).  </w:t>
      </w:r>
    </w:p>
    <w:p>
      <w:r>
        <w:t>Opcional:</w:t>
      </w:r>
    </w:p>
    <w:p>
      <w:pPr>
        <w:pStyle w:val="ListBullet"/>
        <w:keepLines w:val="1"/>
        <w:keepNext w:val="1"/>
        <w:widowControl w:val="1"/>
      </w:pPr>
      <w:r>
        <w:t xml:space="preserve">Ciberseguro_prima_t0, Ciberseguro_prima_t1.  </w:t>
      </w:r>
    </w:p>
    <w:p>
      <w:pPr>
        <w:pStyle w:val="ListBullet"/>
        <w:keepLines w:val="1"/>
        <w:widowControl w:val="1"/>
      </w:pPr>
      <w:r>
        <w:t>Ingresos_contratos_sensibles (ej. contratos que exigen madurez mínima).</w:t>
      </w:r>
    </w:p>
    <w:p>
      <w:pPr>
        <w:pStyle w:val="Heading3"/>
        <w:keepNext/>
        <w:keepLines/>
      </w:pPr>
      <w:r>
        <w:t>5.2. Cálculo de beneficios</w:t>
      </w:r>
    </w:p>
    <w:p>
      <w:r>
        <w:t>Ejemplo de beneficios estimados:</w:t>
      </w:r>
    </w:p>
    <w:p>
      <w:pPr>
        <w:pStyle w:val="ListBullet"/>
        <w:keepLines w:val="1"/>
        <w:keepNext w:val="1"/>
        <w:widowControl w:val="1"/>
      </w:pPr>
      <w:r>
        <w:t xml:space="preserve">Beneficio_Incidentes = Pérdidas_t0 - Pérdidas_t1 (si hay reducción).  </w:t>
      </w:r>
    </w:p>
    <w:p>
      <w:pPr>
        <w:pStyle w:val="ListBullet"/>
        <w:keepLines w:val="1"/>
        <w:keepNext w:val="1"/>
        <w:widowControl w:val="1"/>
      </w:pPr>
      <w:r>
        <w:t xml:space="preserve">Beneficio_Seguro = Ciberseguro_prima_t0 - Ciberseguro_prima_t1 (si se reduce).  </w:t>
      </w:r>
    </w:p>
    <w:p>
      <w:pPr>
        <w:pStyle w:val="ListBullet"/>
        <w:keepLines w:val="1"/>
        <w:widowControl w:val="1"/>
      </w:pPr>
      <w:r>
        <w:t>Beneficio_Contratos = Incremento_neto_ingresos_en_contratos_vinculados_a_madurez.</w:t>
      </w:r>
    </w:p>
    <w:p>
      <w:r>
        <w:t>Beneficio total: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Beneficio_Total = Beneficio_Incidentes + Beneficio_Seguro + Beneficio_Contratos</w:t>
        <w:br/>
      </w:r>
    </w:p>
    <w:p>
      <w:pPr>
        <w:pStyle w:val="Heading3"/>
        <w:keepNext/>
        <w:keepLines/>
      </w:pPr>
      <w:r>
        <w:t>5.3. Cálculo de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= (Beneficio_Total - Coste_Ciber_t1) / Coste_Ciber_t1</w:t>
        <w:br/>
      </w:r>
    </w:p>
    <w:p>
      <w:r>
        <w:t>También puede expresarse en porcentaje: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ROI_% = ROI * 100</w:t>
        <w:br/>
      </w:r>
    </w:p>
    <w:p>
      <w:pPr>
        <w:pStyle w:val="Heading3"/>
        <w:keepNext/>
        <w:keepLines/>
      </w:pPr>
      <w:r>
        <w:t>5.4. Relación con el IGM</w:t>
      </w:r>
    </w:p>
    <w:p>
      <w:r>
        <w:t>Se pueden construir gráficos que muestren:</w:t>
      </w:r>
    </w:p>
    <w:p>
      <w:pPr>
        <w:pStyle w:val="ListBullet"/>
        <w:keepLines w:val="1"/>
        <w:keepNext w:val="1"/>
        <w:widowControl w:val="1"/>
      </w:pPr>
      <w:r>
        <w:t xml:space="preserve">Evolución del IGM frente a la evolución de pérdidas e inversión.  </w:t>
      </w:r>
    </w:p>
    <w:p>
      <w:pPr>
        <w:pStyle w:val="ListBullet"/>
        <w:keepLines w:val="1"/>
        <w:keepNext w:val="1"/>
        <w:widowControl w:val="1"/>
      </w:pPr>
      <w:r>
        <w:t xml:space="preserve">Organizaciones con similar inversión pero diferente IGM (eficiencia relativa).  </w:t>
      </w:r>
    </w:p>
    <w:p>
      <w:pPr>
        <w:pStyle w:val="ListBullet"/>
        <w:keepLines w:val="1"/>
        <w:widowControl w:val="1"/>
      </w:pPr>
      <w:r>
        <w:t>Sectores donde pequeñas mejoras de IGM producen grandes reducciones de pérdidas.</w:t>
      </w:r>
    </w:p>
    <w:p>
      <w:pPr>
        <w:pStyle w:val="Heading2"/>
        <w:keepNext/>
        <w:keepLines/>
      </w:pPr>
      <w:r>
        <w:rPr>
          <w:color w:val="0066CC"/>
        </w:rPr>
        <w:t>6. Hoja “Dashboards”</w:t>
      </w:r>
    </w:p>
    <w:p>
      <w:r>
        <w:t>Se recomiendan gráficos como:</w:t>
      </w:r>
    </w:p>
    <w:p>
      <w:pPr>
        <w:pStyle w:val="ListBullet"/>
        <w:keepLines w:val="1"/>
        <w:keepNext w:val="1"/>
        <w:widowControl w:val="1"/>
      </w:pPr>
      <w:r>
        <w:t xml:space="preserve">Distribución del IGM por sector y tamaño.  </w:t>
      </w:r>
    </w:p>
    <w:p>
      <w:pPr>
        <w:pStyle w:val="ListBullet"/>
        <w:keepLines w:val="1"/>
        <w:keepNext w:val="1"/>
        <w:widowControl w:val="1"/>
      </w:pPr>
      <w:r>
        <w:t xml:space="preserve">Mapas de calor por bloque de madurez.  </w:t>
      </w:r>
    </w:p>
    <w:p>
      <w:pPr>
        <w:pStyle w:val="ListBullet"/>
        <w:keepLines w:val="1"/>
        <w:keepNext w:val="1"/>
        <w:widowControl w:val="1"/>
      </w:pPr>
      <w:r>
        <w:t xml:space="preserve">Dispersión IGM vs. pérdidas de incidentes.  </w:t>
      </w:r>
    </w:p>
    <w:p>
      <w:pPr>
        <w:pStyle w:val="ListBullet"/>
        <w:keepLines w:val="1"/>
        <w:widowControl w:val="1"/>
      </w:pPr>
      <w:r>
        <w:t>Evolución temporal del IGM por organización o sector.</w:t>
      </w:r>
    </w:p>
    <w:p>
      <w:r>
        <w:rPr>
          <w:i/>
        </w:rPr>
        <w:t>Fin de la descripción de la plantilla Excel. El resto es cuestión de fórmulas, paciencia y algún café.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